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09" w:rsidRPr="00067299" w:rsidRDefault="00732609" w:rsidP="00426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978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32609" w:rsidRPr="00542978" w:rsidRDefault="00732609" w:rsidP="00426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978">
        <w:rPr>
          <w:rFonts w:ascii="Times New Roman" w:hAnsi="Times New Roman"/>
          <w:b/>
          <w:sz w:val="28"/>
          <w:szCs w:val="28"/>
        </w:rPr>
        <w:t xml:space="preserve">«Предпринимательство в </w:t>
      </w:r>
      <w:r>
        <w:rPr>
          <w:rFonts w:ascii="Times New Roman" w:hAnsi="Times New Roman"/>
          <w:b/>
          <w:sz w:val="28"/>
          <w:szCs w:val="28"/>
        </w:rPr>
        <w:t>ЗАТО городской округ Молодежный</w:t>
      </w:r>
    </w:p>
    <w:p w:rsidR="00732609" w:rsidRPr="00542978" w:rsidRDefault="00732609" w:rsidP="00426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978">
        <w:rPr>
          <w:rFonts w:ascii="Times New Roman" w:hAnsi="Times New Roman"/>
          <w:b/>
          <w:sz w:val="28"/>
          <w:szCs w:val="28"/>
        </w:rPr>
        <w:t>Московской области на 2014-201</w:t>
      </w:r>
      <w:r>
        <w:rPr>
          <w:rFonts w:ascii="Times New Roman" w:hAnsi="Times New Roman"/>
          <w:b/>
          <w:sz w:val="28"/>
          <w:szCs w:val="28"/>
        </w:rPr>
        <w:t>8</w:t>
      </w:r>
      <w:r w:rsidRPr="0054297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г.г.</w:t>
      </w:r>
      <w:r w:rsidRPr="00542978">
        <w:rPr>
          <w:rFonts w:ascii="Times New Roman" w:hAnsi="Times New Roman"/>
          <w:b/>
          <w:sz w:val="28"/>
          <w:szCs w:val="28"/>
        </w:rPr>
        <w:t>»</w:t>
      </w:r>
    </w:p>
    <w:p w:rsidR="00732609" w:rsidRDefault="00732609" w:rsidP="00426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2609" w:rsidRPr="007C272B" w:rsidRDefault="00732609" w:rsidP="00426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72B">
        <w:rPr>
          <w:rFonts w:ascii="Times New Roman" w:hAnsi="Times New Roman"/>
          <w:b/>
          <w:sz w:val="24"/>
          <w:szCs w:val="24"/>
        </w:rPr>
        <w:t>ПАСПОРТ</w:t>
      </w:r>
    </w:p>
    <w:p w:rsidR="00732609" w:rsidRPr="007C272B" w:rsidRDefault="00732609" w:rsidP="004268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C272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МУНИЦИПАЛЬНОЙ ПРОГРАММЫ </w:t>
      </w:r>
    </w:p>
    <w:p w:rsidR="00732609" w:rsidRPr="007C272B" w:rsidRDefault="00732609" w:rsidP="004268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32609" w:rsidRDefault="00732609" w:rsidP="00426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72B">
        <w:rPr>
          <w:rFonts w:ascii="Times New Roman" w:hAnsi="Times New Roman"/>
          <w:b/>
          <w:sz w:val="24"/>
          <w:szCs w:val="24"/>
        </w:rPr>
        <w:t xml:space="preserve"> «Предпринимательство в ЗАТО городской округ Молодежный Московской области на 2014-2018 г</w:t>
      </w:r>
      <w:r>
        <w:rPr>
          <w:rFonts w:ascii="Times New Roman" w:hAnsi="Times New Roman"/>
          <w:b/>
          <w:sz w:val="24"/>
          <w:szCs w:val="24"/>
        </w:rPr>
        <w:t>.г.</w:t>
      </w:r>
      <w:r w:rsidRPr="007C272B">
        <w:rPr>
          <w:rFonts w:ascii="Times New Roman" w:hAnsi="Times New Roman"/>
          <w:b/>
          <w:sz w:val="24"/>
          <w:szCs w:val="24"/>
        </w:rPr>
        <w:t>»</w:t>
      </w:r>
    </w:p>
    <w:p w:rsidR="00732609" w:rsidRPr="007C272B" w:rsidRDefault="00732609" w:rsidP="00426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1984"/>
        <w:gridCol w:w="1276"/>
        <w:gridCol w:w="1276"/>
        <w:gridCol w:w="1276"/>
        <w:gridCol w:w="1275"/>
        <w:gridCol w:w="1701"/>
      </w:tblGrid>
      <w:tr w:rsidR="00732609" w:rsidRPr="00724E4D" w:rsidTr="00724E4D">
        <w:tc>
          <w:tcPr>
            <w:tcW w:w="4928" w:type="dxa"/>
          </w:tcPr>
          <w:p w:rsidR="00732609" w:rsidRPr="00724E4D" w:rsidRDefault="00732609" w:rsidP="00724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788" w:type="dxa"/>
            <w:gridSpan w:val="6"/>
          </w:tcPr>
          <w:p w:rsidR="00732609" w:rsidRPr="00724E4D" w:rsidRDefault="00732609" w:rsidP="0072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администрации по финансовым вопросам- начальник бюджетно-финансового отдела </w:t>
            </w:r>
          </w:p>
        </w:tc>
      </w:tr>
      <w:tr w:rsidR="00732609" w:rsidRPr="00724E4D" w:rsidTr="00724E4D">
        <w:tc>
          <w:tcPr>
            <w:tcW w:w="4928" w:type="dxa"/>
          </w:tcPr>
          <w:p w:rsidR="00732609" w:rsidRPr="00724E4D" w:rsidRDefault="00732609" w:rsidP="00724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8788" w:type="dxa"/>
            <w:gridSpan w:val="6"/>
          </w:tcPr>
          <w:p w:rsidR="00732609" w:rsidRPr="00724E4D" w:rsidRDefault="00732609" w:rsidP="0072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4"/>
                <w:szCs w:val="24"/>
              </w:rPr>
              <w:t xml:space="preserve">Администрация ЗАТО городской округ Молодежный Московской области </w:t>
            </w:r>
          </w:p>
        </w:tc>
      </w:tr>
      <w:tr w:rsidR="00732609" w:rsidRPr="00724E4D" w:rsidTr="00724E4D">
        <w:tc>
          <w:tcPr>
            <w:tcW w:w="4928" w:type="dxa"/>
          </w:tcPr>
          <w:p w:rsidR="00732609" w:rsidRPr="00724E4D" w:rsidRDefault="00732609" w:rsidP="00724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788" w:type="dxa"/>
            <w:gridSpan w:val="6"/>
          </w:tcPr>
          <w:p w:rsidR="00732609" w:rsidRPr="00724E4D" w:rsidRDefault="00732609" w:rsidP="00724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4"/>
                <w:szCs w:val="24"/>
              </w:rPr>
              <w:t>Достижение устойчиво высоких темпов экономического роста, обеспечивающих повышение уровня жизни жителей ЗАТО городской округ Молодежный Московской области</w:t>
            </w:r>
          </w:p>
        </w:tc>
      </w:tr>
      <w:tr w:rsidR="00732609" w:rsidRPr="00724E4D" w:rsidTr="00724E4D">
        <w:tc>
          <w:tcPr>
            <w:tcW w:w="4928" w:type="dxa"/>
          </w:tcPr>
          <w:p w:rsidR="00732609" w:rsidRPr="00724E4D" w:rsidRDefault="00732609" w:rsidP="00724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788" w:type="dxa"/>
            <w:gridSpan w:val="6"/>
          </w:tcPr>
          <w:p w:rsidR="00732609" w:rsidRPr="00724E4D" w:rsidRDefault="00732609" w:rsidP="0072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724E4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24E4D">
              <w:rPr>
                <w:rFonts w:ascii="Times New Roman" w:hAnsi="Times New Roman"/>
                <w:sz w:val="24"/>
                <w:szCs w:val="24"/>
              </w:rPr>
              <w:t xml:space="preserve"> «Развитие малого и среднего предпринимательства в ЗАТО городской округ Молодежный» (далее - Подпрограмма </w:t>
            </w:r>
            <w:r w:rsidRPr="00724E4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24E4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32609" w:rsidRPr="00724E4D" w:rsidRDefault="00732609" w:rsidP="0072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724E4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24E4D">
              <w:rPr>
                <w:rFonts w:ascii="Times New Roman" w:hAnsi="Times New Roman"/>
                <w:sz w:val="24"/>
                <w:szCs w:val="24"/>
              </w:rPr>
              <w:t xml:space="preserve"> « Развитие потребительского рынка и услуг на территории ЗАТО городской округ Молодежный» (далее - Подпрограмма </w:t>
            </w:r>
            <w:r w:rsidRPr="00724E4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24E4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32609" w:rsidRPr="00724E4D" w:rsidRDefault="00732609" w:rsidP="0072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724E4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24E4D">
              <w:rPr>
                <w:rFonts w:ascii="Times New Roman" w:hAnsi="Times New Roman"/>
                <w:sz w:val="24"/>
                <w:szCs w:val="24"/>
              </w:rPr>
              <w:t xml:space="preserve"> «Развитие конкуренции в ЗАТО городской округ Молодежный» (далее- Подпрограмма </w:t>
            </w:r>
            <w:r w:rsidRPr="00724E4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24E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32609" w:rsidRPr="00724E4D" w:rsidTr="00724E4D">
        <w:tc>
          <w:tcPr>
            <w:tcW w:w="4928" w:type="dxa"/>
            <w:vMerge w:val="restart"/>
          </w:tcPr>
          <w:p w:rsidR="00732609" w:rsidRPr="00724E4D" w:rsidRDefault="00732609" w:rsidP="00724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4"/>
                <w:szCs w:val="24"/>
              </w:rPr>
              <w:t>Источники финансирования муниципальной  программы, в том числе по годам:</w:t>
            </w:r>
          </w:p>
        </w:tc>
        <w:tc>
          <w:tcPr>
            <w:tcW w:w="8788" w:type="dxa"/>
            <w:gridSpan w:val="6"/>
          </w:tcPr>
          <w:p w:rsidR="00732609" w:rsidRPr="00724E4D" w:rsidRDefault="00732609" w:rsidP="00724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732609" w:rsidRPr="00724E4D" w:rsidTr="00724E4D">
        <w:tc>
          <w:tcPr>
            <w:tcW w:w="4928" w:type="dxa"/>
            <w:vMerge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vAlign w:val="center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vAlign w:val="center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vAlign w:val="center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732609" w:rsidRPr="00724E4D" w:rsidTr="00724E4D">
        <w:tc>
          <w:tcPr>
            <w:tcW w:w="4928" w:type="dxa"/>
          </w:tcPr>
          <w:p w:rsidR="00732609" w:rsidRPr="00724E4D" w:rsidRDefault="00732609" w:rsidP="0072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984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276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bottom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bottom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vAlign w:val="bottom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32609" w:rsidRPr="00724E4D" w:rsidTr="00724E4D">
        <w:tc>
          <w:tcPr>
            <w:tcW w:w="4928" w:type="dxa"/>
          </w:tcPr>
          <w:p w:rsidR="00732609" w:rsidRPr="00724E4D" w:rsidRDefault="00732609" w:rsidP="0072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984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bottom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2609" w:rsidRPr="00724E4D" w:rsidTr="00724E4D">
        <w:tc>
          <w:tcPr>
            <w:tcW w:w="4928" w:type="dxa"/>
          </w:tcPr>
          <w:p w:rsidR="00732609" w:rsidRPr="00724E4D" w:rsidRDefault="00732609" w:rsidP="0072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84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bottom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2609" w:rsidRPr="00724E4D" w:rsidTr="00724E4D">
        <w:tc>
          <w:tcPr>
            <w:tcW w:w="4928" w:type="dxa"/>
          </w:tcPr>
          <w:p w:rsidR="00732609" w:rsidRPr="00724E4D" w:rsidRDefault="00732609" w:rsidP="0072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bottom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2609" w:rsidRPr="00724E4D" w:rsidTr="00724E4D">
        <w:tc>
          <w:tcPr>
            <w:tcW w:w="4928" w:type="dxa"/>
          </w:tcPr>
          <w:p w:rsidR="00732609" w:rsidRPr="00724E4D" w:rsidRDefault="00732609" w:rsidP="0072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276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bottom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bottom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vAlign w:val="bottom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32609" w:rsidRPr="00724E4D" w:rsidTr="00724E4D">
        <w:tc>
          <w:tcPr>
            <w:tcW w:w="4928" w:type="dxa"/>
          </w:tcPr>
          <w:p w:rsidR="00732609" w:rsidRPr="00724E4D" w:rsidRDefault="00732609" w:rsidP="0072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8788" w:type="dxa"/>
            <w:gridSpan w:val="6"/>
            <w:vAlign w:val="center"/>
          </w:tcPr>
          <w:p w:rsidR="00732609" w:rsidRPr="00724E4D" w:rsidRDefault="00732609" w:rsidP="0072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 xml:space="preserve">1.Увеличение субъектов малого и среднего предпринимательства, осуществляющих деятельность в производственной сфере обрабатывающих производств и технологических инноваций, на 104% к 2018г.; </w:t>
            </w:r>
          </w:p>
          <w:p w:rsidR="00732609" w:rsidRPr="00724E4D" w:rsidRDefault="00732609" w:rsidP="0072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2.Увеличение малых и средних предприятий (включая микро) в общем обороте по полному кругу предприятий городского округа на 100% к 2018 г.;</w:t>
            </w:r>
          </w:p>
          <w:p w:rsidR="00732609" w:rsidRPr="00724E4D" w:rsidRDefault="00732609" w:rsidP="0072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3.Увеличение роста инвестиций в основной капитал малых предприятий к 2018году на 112%;</w:t>
            </w:r>
          </w:p>
          <w:p w:rsidR="00732609" w:rsidRPr="00724E4D" w:rsidRDefault="00732609" w:rsidP="0072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4.Увеличение создаваемых мест субъектами малого и среднего предпринимательства, получившим поддержку, на 2 ед.к 2018г.;</w:t>
            </w:r>
          </w:p>
          <w:p w:rsidR="00732609" w:rsidRPr="00724E4D" w:rsidRDefault="00732609" w:rsidP="0072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5.Увеличение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работников(без внешних совместителей) всех предприятий и организаций к 2018г. на 28 чел.;</w:t>
            </w:r>
          </w:p>
          <w:p w:rsidR="00732609" w:rsidRPr="00724E4D" w:rsidRDefault="00732609" w:rsidP="0072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 xml:space="preserve">6.Увеличение уровня среднемесячной заработной платы работников малого и среднего предпринимательства к концу  2018 прогнозируется в размере 37200 руб.       </w:t>
            </w:r>
          </w:p>
          <w:p w:rsidR="00732609" w:rsidRPr="00724E4D" w:rsidRDefault="00732609" w:rsidP="0072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 xml:space="preserve"> 7.Увеличение количества малых и средних предприятий (включая микропредприятия)в ЗАТО городской округ Молодежный на 100 жителей к 2018г. на 1,9 ед.</w:t>
            </w:r>
          </w:p>
          <w:p w:rsidR="00732609" w:rsidRPr="00724E4D" w:rsidRDefault="00732609" w:rsidP="0072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 xml:space="preserve"> 8.Обеспеченность населения площадью торговых объектов достигнет 631,7кв.м. на 1000 жителей по итогам реализации подпрограммы;</w:t>
            </w:r>
          </w:p>
          <w:p w:rsidR="00732609" w:rsidRPr="00724E4D" w:rsidRDefault="00732609" w:rsidP="0072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9. Обеспеченность населения услугами общественного питания достигнет 3,5  пос.мест на 1000 жителей по итогам реализации подпрограммы;</w:t>
            </w:r>
          </w:p>
          <w:p w:rsidR="00732609" w:rsidRPr="00724E4D" w:rsidRDefault="00732609" w:rsidP="0072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10. Обеспеченность населения бытовыми услугами достигнет 1,1 рабочих мест на 1000 жителей по итогам реализации подпрограммы;</w:t>
            </w:r>
          </w:p>
          <w:p w:rsidR="00732609" w:rsidRPr="00724E4D" w:rsidRDefault="00732609" w:rsidP="0072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11. Площадь торговых объектов предприятий розничной торговли к 2018 году составит 1993 кв.м.</w:t>
            </w:r>
          </w:p>
          <w:p w:rsidR="00732609" w:rsidRPr="00724E4D" w:rsidRDefault="00732609" w:rsidP="0072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12. Прирост торговых площадей с использованием внебюджетных инвестиций за весь период реализации подпрограммы составит 664,3.кв.м.;</w:t>
            </w:r>
          </w:p>
          <w:p w:rsidR="00732609" w:rsidRPr="00724E4D" w:rsidRDefault="00732609" w:rsidP="0072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13. Количество проведенных ярмарок за весь период реализации подпрограммы составит 19 единиц;</w:t>
            </w:r>
          </w:p>
          <w:p w:rsidR="00732609" w:rsidRPr="00724E4D" w:rsidRDefault="00732609" w:rsidP="0072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14. Периодичность информирования населения через интернет сайт и СМИ по вопросам защиты прав потребителей за весь период реализации подпрограммы составит 4 единицы;</w:t>
            </w:r>
          </w:p>
          <w:p w:rsidR="00732609" w:rsidRPr="00724E4D" w:rsidRDefault="00732609" w:rsidP="0072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15. Проведение мониторинга предприятий сферы потребительского рынка по соблюдению Закона о защите прав потребителей будет составлять 20% всех предприятий потребительского рынка ежегодно.</w:t>
            </w:r>
          </w:p>
          <w:p w:rsidR="00732609" w:rsidRPr="00724E4D" w:rsidRDefault="00732609" w:rsidP="0072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16.Заключить трех сторонний договор о совместном использовании кладбища.</w:t>
            </w:r>
          </w:p>
          <w:p w:rsidR="00732609" w:rsidRPr="00724E4D" w:rsidRDefault="00732609" w:rsidP="00724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17. Улучшение состояния конкурентной среды в микробизнесе, централизация закупок, увеличение доли торгов проведенные чрез открытые аукционы, привлечение потенциальных участников торгов, повышением информационной прозрачности деятельности органов государственной власти и местного самоуправления</w:t>
            </w:r>
          </w:p>
        </w:tc>
      </w:tr>
    </w:tbl>
    <w:p w:rsidR="00732609" w:rsidRDefault="00732609" w:rsidP="00C350AC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*Источники финансирования Пр</w:t>
      </w:r>
      <w:r w:rsidRPr="00957CB1">
        <w:rPr>
          <w:rFonts w:ascii="Times New Roman" w:hAnsi="Times New Roman"/>
          <w:sz w:val="20"/>
          <w:szCs w:val="20"/>
        </w:rPr>
        <w:t>ограммы: средства бюджета ЗАТО городской округ Молодежный Московской области, подлежат ежегодному уточнению при формировании бюджета на очередной финансовый год. Планируемые к привлечению средства бюджета Московской области предоставляются на конкурсной основе и на условиях софинансирования местным бюджетом для финансирования мероприятий, осуществляемых в рамках оказания поддержки субъектов малого и среднего предпринимательства органами местного самоуправления</w:t>
      </w:r>
      <w:r>
        <w:rPr>
          <w:rFonts w:ascii="Times New Roman" w:hAnsi="Times New Roman"/>
          <w:sz w:val="20"/>
          <w:szCs w:val="20"/>
        </w:rPr>
        <w:t>.</w:t>
      </w:r>
    </w:p>
    <w:p w:rsidR="00732609" w:rsidRDefault="00732609" w:rsidP="00C350AC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32609" w:rsidRDefault="00732609" w:rsidP="00C350AC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  <w:sectPr w:rsidR="00732609" w:rsidSect="003F40C3">
          <w:headerReference w:type="default" r:id="rId6"/>
          <w:pgSz w:w="16840" w:h="11907" w:orient="landscape" w:code="9"/>
          <w:pgMar w:top="851" w:right="1134" w:bottom="1418" w:left="1134" w:header="720" w:footer="720" w:gutter="0"/>
          <w:pgNumType w:start="27"/>
          <w:cols w:space="720"/>
          <w:noEndnote/>
          <w:docGrid w:linePitch="299"/>
        </w:sectPr>
      </w:pPr>
    </w:p>
    <w:p w:rsidR="00732609" w:rsidRDefault="00732609" w:rsidP="00E20B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42978">
        <w:rPr>
          <w:rFonts w:ascii="Times New Roman" w:hAnsi="Times New Roman"/>
          <w:b/>
          <w:sz w:val="24"/>
          <w:szCs w:val="24"/>
        </w:rPr>
        <w:t>Характеристика проблемы в сфере со</w:t>
      </w:r>
      <w:r>
        <w:rPr>
          <w:rFonts w:ascii="Times New Roman" w:hAnsi="Times New Roman"/>
          <w:b/>
          <w:sz w:val="24"/>
          <w:szCs w:val="24"/>
        </w:rPr>
        <w:t>циально-экономического развития</w:t>
      </w:r>
    </w:p>
    <w:p w:rsidR="00732609" w:rsidRDefault="00732609" w:rsidP="00E20B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ЗАТО городской округ Молодежный</w:t>
      </w:r>
      <w:r w:rsidRPr="00542978">
        <w:rPr>
          <w:rFonts w:ascii="Times New Roman" w:hAnsi="Times New Roman"/>
          <w:b/>
          <w:sz w:val="24"/>
          <w:szCs w:val="24"/>
        </w:rPr>
        <w:t xml:space="preserve"> Московской области и прогноз </w:t>
      </w:r>
    </w:p>
    <w:p w:rsidR="00732609" w:rsidRDefault="00732609" w:rsidP="00E20B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42978">
        <w:rPr>
          <w:rFonts w:ascii="Times New Roman" w:hAnsi="Times New Roman"/>
          <w:b/>
          <w:sz w:val="24"/>
          <w:szCs w:val="24"/>
        </w:rPr>
        <w:t>развития ситуации с учетом реализации Программы</w:t>
      </w:r>
    </w:p>
    <w:p w:rsidR="00732609" w:rsidRPr="00542978" w:rsidRDefault="00732609" w:rsidP="00E20B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32609" w:rsidRPr="00542978" w:rsidRDefault="00732609" w:rsidP="00E20B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2978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>
        <w:rPr>
          <w:rFonts w:ascii="Times New Roman" w:hAnsi="Times New Roman"/>
          <w:sz w:val="24"/>
          <w:szCs w:val="24"/>
        </w:rPr>
        <w:t>ЗАТО городской округ Молодежный</w:t>
      </w:r>
      <w:r w:rsidRPr="00542978">
        <w:rPr>
          <w:rFonts w:ascii="Times New Roman" w:hAnsi="Times New Roman"/>
          <w:sz w:val="24"/>
          <w:szCs w:val="24"/>
        </w:rPr>
        <w:t xml:space="preserve"> Московской области «Предпринимательство в</w:t>
      </w:r>
      <w:r>
        <w:rPr>
          <w:rFonts w:ascii="Times New Roman" w:hAnsi="Times New Roman"/>
          <w:sz w:val="24"/>
          <w:szCs w:val="24"/>
        </w:rPr>
        <w:t xml:space="preserve"> ЗАТО</w:t>
      </w:r>
      <w:r w:rsidRPr="00542978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й</w:t>
      </w:r>
      <w:r w:rsidRPr="00542978">
        <w:rPr>
          <w:rFonts w:ascii="Times New Roman" w:hAnsi="Times New Roman"/>
          <w:sz w:val="24"/>
          <w:szCs w:val="24"/>
        </w:rPr>
        <w:t xml:space="preserve"> округ </w:t>
      </w:r>
      <w:r>
        <w:rPr>
          <w:rFonts w:ascii="Times New Roman" w:hAnsi="Times New Roman"/>
          <w:sz w:val="24"/>
          <w:szCs w:val="24"/>
        </w:rPr>
        <w:t>Молодежный</w:t>
      </w:r>
      <w:r w:rsidRPr="00542978">
        <w:rPr>
          <w:rFonts w:ascii="Times New Roman" w:hAnsi="Times New Roman"/>
          <w:sz w:val="24"/>
          <w:szCs w:val="24"/>
        </w:rPr>
        <w:t xml:space="preserve"> Московской области на 201</w:t>
      </w:r>
      <w:r>
        <w:rPr>
          <w:rFonts w:ascii="Times New Roman" w:hAnsi="Times New Roman"/>
          <w:sz w:val="24"/>
          <w:szCs w:val="24"/>
        </w:rPr>
        <w:t>5</w:t>
      </w:r>
      <w:r w:rsidRPr="0054297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542978">
        <w:rPr>
          <w:rFonts w:ascii="Times New Roman" w:hAnsi="Times New Roman"/>
          <w:sz w:val="24"/>
          <w:szCs w:val="24"/>
        </w:rPr>
        <w:t xml:space="preserve"> годы» (далее Программа) разработана в соответствии с Государственной программой Московской области «Предпринимательство Подмосковья», Указом Президента Российской Федерации от 7 мая 2012 г. № 596 «О долгосрочной государственной экономической политике» и программным обращением временно исполняющего обязанности Губернатора Московской области «Наше Подмосковье. Приоритеты развития». </w:t>
      </w:r>
    </w:p>
    <w:p w:rsidR="00732609" w:rsidRDefault="00732609" w:rsidP="00E20B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5D33">
        <w:rPr>
          <w:rFonts w:ascii="Times New Roman" w:hAnsi="Times New Roman"/>
          <w:sz w:val="24"/>
          <w:szCs w:val="24"/>
        </w:rPr>
        <w:t>Потребительский рынок в ЗАТО городской округ Молодежный представлен организациями различных организационно-правовых форм собственности и индивидуальными предпринимателями.</w:t>
      </w:r>
    </w:p>
    <w:p w:rsidR="00732609" w:rsidRDefault="00732609" w:rsidP="00E20B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5D33">
        <w:rPr>
          <w:rFonts w:ascii="Times New Roman" w:hAnsi="Times New Roman"/>
          <w:sz w:val="24"/>
          <w:szCs w:val="24"/>
        </w:rPr>
        <w:t xml:space="preserve">На сегодняшний день на территории ЗАТО городской округ Молодежный осуществляют деятельность </w:t>
      </w:r>
      <w:r>
        <w:rPr>
          <w:rFonts w:ascii="Times New Roman" w:hAnsi="Times New Roman"/>
          <w:sz w:val="24"/>
          <w:szCs w:val="24"/>
        </w:rPr>
        <w:t>6</w:t>
      </w:r>
      <w:r w:rsidRPr="00555D33">
        <w:rPr>
          <w:rFonts w:ascii="Times New Roman" w:hAnsi="Times New Roman"/>
          <w:sz w:val="24"/>
          <w:szCs w:val="24"/>
        </w:rPr>
        <w:t xml:space="preserve"> юридических лиц и 1</w:t>
      </w:r>
      <w:r>
        <w:rPr>
          <w:rFonts w:ascii="Times New Roman" w:hAnsi="Times New Roman"/>
          <w:sz w:val="24"/>
          <w:szCs w:val="24"/>
        </w:rPr>
        <w:t>1</w:t>
      </w:r>
      <w:r w:rsidRPr="00555D33">
        <w:rPr>
          <w:rFonts w:ascii="Times New Roman" w:hAnsi="Times New Roman"/>
          <w:sz w:val="24"/>
          <w:szCs w:val="24"/>
        </w:rPr>
        <w:t xml:space="preserve"> индивидуальных предпринимателей</w:t>
      </w:r>
      <w:r>
        <w:rPr>
          <w:rFonts w:ascii="Times New Roman" w:hAnsi="Times New Roman"/>
          <w:sz w:val="24"/>
          <w:szCs w:val="24"/>
        </w:rPr>
        <w:t>,</w:t>
      </w:r>
      <w:r w:rsidRPr="00555D33">
        <w:rPr>
          <w:rFonts w:ascii="Times New Roman" w:hAnsi="Times New Roman"/>
          <w:sz w:val="24"/>
          <w:szCs w:val="24"/>
        </w:rPr>
        <w:t xml:space="preserve"> осуществляющих розничную торговлю и оказывающих бытовые услуги. Все предприниматели относятся к категории микробизнеса.</w:t>
      </w:r>
    </w:p>
    <w:p w:rsidR="00732609" w:rsidRPr="00F40307" w:rsidRDefault="00732609" w:rsidP="00E20B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76294">
        <w:rPr>
          <w:rFonts w:ascii="Times New Roman" w:hAnsi="Times New Roman"/>
          <w:sz w:val="24"/>
          <w:szCs w:val="24"/>
        </w:rPr>
        <w:t xml:space="preserve">Сектор малого предпринимательства является неотъемлемым, объективно необходимым элементом любой развитой хозяйственной системы, без которого экономика и общество в целом не могут нормально существовать и развиваться. Хотя «лицо» любого развитого государства составляют крупные корпорации, а наличие мощной экономической силы - крупного капитала в значительной мере определяет уровень научно-технического и производственного потенциала, подлинной основой жизни стран с рыночной системой хозяйствования является малое предпринимательство, как наиболее массовая, динамичная и гибкая форма деловой жизни. Именно в секторе малого предпринимательства создается и циркулирует основная масса национальных ресурсов, которые являются питательной средой для среднего и крупного бизнеса. </w:t>
      </w:r>
    </w:p>
    <w:p w:rsidR="00732609" w:rsidRPr="00676294" w:rsidRDefault="00732609" w:rsidP="00E20B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6294">
        <w:rPr>
          <w:rFonts w:ascii="Times New Roman" w:hAnsi="Times New Roman"/>
          <w:sz w:val="24"/>
          <w:szCs w:val="24"/>
        </w:rPr>
        <w:t>Достигнутый уровень развития малого и среднего предпринимательства в городском округе  недостаточен с точки зрения требований рыночной экономики для обеспечения устойчивости и необратимости указанных позитивных изменений.</w:t>
      </w:r>
    </w:p>
    <w:p w:rsidR="00732609" w:rsidRPr="00676294" w:rsidRDefault="00732609" w:rsidP="00E20B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6294">
        <w:rPr>
          <w:rFonts w:ascii="Times New Roman" w:hAnsi="Times New Roman"/>
          <w:sz w:val="24"/>
          <w:szCs w:val="24"/>
        </w:rPr>
        <w:t xml:space="preserve">Предпринимательство в структуре экономики </w:t>
      </w:r>
      <w:r>
        <w:rPr>
          <w:rFonts w:ascii="Times New Roman" w:hAnsi="Times New Roman"/>
          <w:sz w:val="24"/>
          <w:szCs w:val="24"/>
        </w:rPr>
        <w:t>ЗАТО городской округ Молодежный</w:t>
      </w:r>
      <w:r w:rsidRPr="00676294">
        <w:rPr>
          <w:rFonts w:ascii="Times New Roman" w:hAnsi="Times New Roman"/>
          <w:sz w:val="24"/>
          <w:szCs w:val="24"/>
        </w:rPr>
        <w:t xml:space="preserve">, к сожалению, пока еще играет незначительную роль, особенно это затрагивает социальную сферу жизни городского округа. Та часть трудоспособного населения, которая не работает на военном объекте, вынуждена трудоустраиваться за пределами территории </w:t>
      </w:r>
      <w:r>
        <w:rPr>
          <w:rFonts w:ascii="Times New Roman" w:hAnsi="Times New Roman"/>
          <w:sz w:val="24"/>
          <w:szCs w:val="24"/>
        </w:rPr>
        <w:t>ЗАТО городской округ Молодежный</w:t>
      </w:r>
      <w:r w:rsidRPr="00676294">
        <w:rPr>
          <w:rFonts w:ascii="Times New Roman" w:hAnsi="Times New Roman"/>
          <w:sz w:val="24"/>
          <w:szCs w:val="24"/>
        </w:rPr>
        <w:t xml:space="preserve">. </w:t>
      </w:r>
    </w:p>
    <w:p w:rsidR="00732609" w:rsidRPr="00676294" w:rsidRDefault="00732609" w:rsidP="00E20B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6294">
        <w:rPr>
          <w:rFonts w:ascii="Times New Roman" w:hAnsi="Times New Roman"/>
          <w:sz w:val="24"/>
          <w:szCs w:val="24"/>
        </w:rPr>
        <w:t>Проблемы развития малого и среднего предпринимательства обусловлены рядом причин:</w:t>
      </w:r>
    </w:p>
    <w:p w:rsidR="00732609" w:rsidRPr="00676294" w:rsidRDefault="00732609" w:rsidP="00E20B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6294">
        <w:rPr>
          <w:rFonts w:ascii="Times New Roman" w:hAnsi="Times New Roman"/>
          <w:sz w:val="24"/>
          <w:szCs w:val="24"/>
        </w:rPr>
        <w:t>- низкая доступность площадей (производственных, торговых, офисных);</w:t>
      </w:r>
    </w:p>
    <w:p w:rsidR="00732609" w:rsidRDefault="00732609" w:rsidP="00E20B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6294">
        <w:rPr>
          <w:rFonts w:ascii="Times New Roman" w:hAnsi="Times New Roman"/>
          <w:sz w:val="24"/>
          <w:szCs w:val="24"/>
        </w:rPr>
        <w:t>- отсутствие земель для развития промышленных производств (отсутствие права собственности на землю влечет за собой проблемы привлечения внешних инвестиций и создания конкурентной среды)</w:t>
      </w:r>
      <w:r>
        <w:rPr>
          <w:rFonts w:ascii="Times New Roman" w:hAnsi="Times New Roman"/>
          <w:sz w:val="24"/>
          <w:szCs w:val="24"/>
        </w:rPr>
        <w:t>;</w:t>
      </w:r>
    </w:p>
    <w:p w:rsidR="00732609" w:rsidRPr="00676294" w:rsidRDefault="00732609" w:rsidP="00E20B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6294">
        <w:rPr>
          <w:rFonts w:ascii="Times New Roman" w:hAnsi="Times New Roman"/>
          <w:sz w:val="24"/>
          <w:szCs w:val="24"/>
        </w:rPr>
        <w:t>- недостаточная развитость инфраструктуры поддержки и развития малого</w:t>
      </w:r>
      <w:r>
        <w:rPr>
          <w:rFonts w:ascii="Times New Roman" w:hAnsi="Times New Roman"/>
          <w:sz w:val="24"/>
          <w:szCs w:val="24"/>
        </w:rPr>
        <w:t xml:space="preserve"> и среднего предпринимательства.</w:t>
      </w:r>
    </w:p>
    <w:p w:rsidR="00732609" w:rsidRPr="00676294" w:rsidRDefault="00732609" w:rsidP="00E20B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6294">
        <w:rPr>
          <w:rFonts w:ascii="Times New Roman" w:hAnsi="Times New Roman"/>
          <w:sz w:val="24"/>
          <w:szCs w:val="24"/>
        </w:rPr>
        <w:t xml:space="preserve">Для успешного социально-экономического развития </w:t>
      </w:r>
      <w:r>
        <w:rPr>
          <w:rFonts w:ascii="Times New Roman" w:hAnsi="Times New Roman"/>
          <w:sz w:val="24"/>
          <w:szCs w:val="24"/>
        </w:rPr>
        <w:t>ЗАТО городской округ Молодежный</w:t>
      </w:r>
      <w:r w:rsidRPr="00676294">
        <w:rPr>
          <w:rFonts w:ascii="Times New Roman" w:hAnsi="Times New Roman"/>
          <w:sz w:val="24"/>
          <w:szCs w:val="24"/>
        </w:rPr>
        <w:t xml:space="preserve"> необходима эффективно действующая П</w:t>
      </w:r>
      <w:r>
        <w:rPr>
          <w:rFonts w:ascii="Times New Roman" w:hAnsi="Times New Roman"/>
          <w:sz w:val="24"/>
          <w:szCs w:val="24"/>
        </w:rPr>
        <w:t>одп</w:t>
      </w:r>
      <w:r w:rsidRPr="00676294">
        <w:rPr>
          <w:rFonts w:ascii="Times New Roman" w:hAnsi="Times New Roman"/>
          <w:sz w:val="24"/>
          <w:szCs w:val="24"/>
        </w:rPr>
        <w:t>рограмма развития и поддержки малого и среднего предпринимательства, предусматривающая финансирование приоритетных направлений развития малого и среднего предпринимательства, активизацию предпринимательской деятельности, появления дополнительных источников пополнения муниципального бюджета, создание рабочих мест и повышения уровня благосостояния населения.</w:t>
      </w:r>
    </w:p>
    <w:p w:rsidR="00732609" w:rsidRDefault="00732609" w:rsidP="00E20B6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2609" w:rsidRPr="00542978" w:rsidRDefault="00732609" w:rsidP="00E20B6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542978">
        <w:rPr>
          <w:rFonts w:ascii="Times New Roman" w:hAnsi="Times New Roman"/>
          <w:b/>
          <w:sz w:val="24"/>
          <w:szCs w:val="24"/>
        </w:rPr>
        <w:t>2. Цели и задачи Программы</w:t>
      </w:r>
    </w:p>
    <w:p w:rsidR="00732609" w:rsidRPr="00542978" w:rsidRDefault="00732609" w:rsidP="00E2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2978">
        <w:rPr>
          <w:rFonts w:ascii="Times New Roman" w:hAnsi="Times New Roman"/>
          <w:sz w:val="24"/>
          <w:szCs w:val="24"/>
        </w:rPr>
        <w:t xml:space="preserve">Достижение устойчиво высоких темпов экономического роста, обеспечивающих повышение уровня жизни жителей </w:t>
      </w:r>
      <w:r>
        <w:rPr>
          <w:rFonts w:ascii="Times New Roman" w:hAnsi="Times New Roman"/>
          <w:sz w:val="24"/>
          <w:szCs w:val="24"/>
        </w:rPr>
        <w:t xml:space="preserve">ЗАТО </w:t>
      </w:r>
      <w:r w:rsidRPr="00542978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й</w:t>
      </w:r>
      <w:r w:rsidRPr="00542978">
        <w:rPr>
          <w:rFonts w:ascii="Times New Roman" w:hAnsi="Times New Roman"/>
          <w:sz w:val="24"/>
          <w:szCs w:val="24"/>
        </w:rPr>
        <w:t xml:space="preserve"> округ </w:t>
      </w:r>
      <w:r>
        <w:rPr>
          <w:rFonts w:ascii="Times New Roman" w:hAnsi="Times New Roman"/>
          <w:sz w:val="24"/>
          <w:szCs w:val="24"/>
        </w:rPr>
        <w:t>Молодежный</w:t>
      </w:r>
      <w:r w:rsidRPr="00542978">
        <w:rPr>
          <w:rFonts w:ascii="Times New Roman" w:hAnsi="Times New Roman"/>
          <w:sz w:val="24"/>
          <w:szCs w:val="24"/>
        </w:rPr>
        <w:t xml:space="preserve"> Московской области.  </w:t>
      </w:r>
    </w:p>
    <w:p w:rsidR="00732609" w:rsidRPr="00542978" w:rsidRDefault="00732609" w:rsidP="00E2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2978">
        <w:rPr>
          <w:rFonts w:ascii="Times New Roman" w:hAnsi="Times New Roman"/>
          <w:sz w:val="24"/>
          <w:szCs w:val="24"/>
        </w:rPr>
        <w:t>Для достижения указанной цели необходимо решение следующих задач:</w:t>
      </w:r>
    </w:p>
    <w:p w:rsidR="00732609" w:rsidRPr="00542978" w:rsidRDefault="00732609" w:rsidP="00E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</w:t>
      </w:r>
      <w:r w:rsidRPr="00542978">
        <w:rPr>
          <w:rFonts w:ascii="Times New Roman" w:hAnsi="Times New Roman"/>
          <w:sz w:val="24"/>
          <w:szCs w:val="24"/>
        </w:rPr>
        <w:t>азвитие малого</w:t>
      </w:r>
      <w:r>
        <w:rPr>
          <w:rFonts w:ascii="Times New Roman" w:hAnsi="Times New Roman"/>
          <w:sz w:val="24"/>
          <w:szCs w:val="24"/>
        </w:rPr>
        <w:t xml:space="preserve"> и среднего предпринимательства;</w:t>
      </w:r>
    </w:p>
    <w:p w:rsidR="00732609" w:rsidRPr="00542978" w:rsidRDefault="00732609" w:rsidP="00E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</w:t>
      </w:r>
      <w:r w:rsidRPr="00542978">
        <w:rPr>
          <w:rFonts w:ascii="Times New Roman" w:hAnsi="Times New Roman"/>
          <w:sz w:val="24"/>
          <w:szCs w:val="24"/>
        </w:rPr>
        <w:t>азвитие бытового обслуживания;</w:t>
      </w:r>
    </w:p>
    <w:p w:rsidR="00732609" w:rsidRPr="00542978" w:rsidRDefault="00732609" w:rsidP="00E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</w:t>
      </w:r>
      <w:r w:rsidRPr="00542978">
        <w:rPr>
          <w:rFonts w:ascii="Times New Roman" w:hAnsi="Times New Roman"/>
          <w:sz w:val="24"/>
          <w:szCs w:val="24"/>
        </w:rPr>
        <w:t>азвитие социального питания.</w:t>
      </w:r>
    </w:p>
    <w:p w:rsidR="00732609" w:rsidRPr="00026538" w:rsidRDefault="00732609" w:rsidP="00E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Развитие конкуренции.</w:t>
      </w:r>
    </w:p>
    <w:p w:rsidR="00732609" w:rsidRPr="00542978" w:rsidRDefault="00732609" w:rsidP="00E20B6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978">
        <w:rPr>
          <w:rFonts w:ascii="Times New Roman" w:hAnsi="Times New Roman"/>
          <w:b/>
          <w:sz w:val="24"/>
          <w:szCs w:val="24"/>
        </w:rPr>
        <w:t>3. Характеристика основных мероприятий</w:t>
      </w:r>
    </w:p>
    <w:p w:rsidR="00732609" w:rsidRDefault="00732609" w:rsidP="00E20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2978">
        <w:rPr>
          <w:rFonts w:ascii="Times New Roman" w:hAnsi="Times New Roman"/>
          <w:sz w:val="24"/>
          <w:szCs w:val="24"/>
        </w:rPr>
        <w:t xml:space="preserve">Для решения поставленных задач планируется проведение следующих мероприятий </w:t>
      </w:r>
      <w:r>
        <w:rPr>
          <w:rFonts w:ascii="Times New Roman" w:hAnsi="Times New Roman"/>
          <w:sz w:val="24"/>
          <w:szCs w:val="24"/>
        </w:rPr>
        <w:t>П</w:t>
      </w:r>
      <w:r w:rsidRPr="00542978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732609" w:rsidRPr="00542978" w:rsidRDefault="00732609" w:rsidP="00E20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F2290">
        <w:rPr>
          <w:rFonts w:ascii="Times New Roman" w:hAnsi="Times New Roman"/>
          <w:sz w:val="24"/>
          <w:szCs w:val="24"/>
          <w:u w:val="single"/>
        </w:rPr>
        <w:t>Задача 1.</w:t>
      </w:r>
      <w:r w:rsidRPr="00542978">
        <w:rPr>
          <w:rFonts w:ascii="Times New Roman" w:hAnsi="Times New Roman"/>
          <w:sz w:val="24"/>
          <w:szCs w:val="24"/>
        </w:rPr>
        <w:t xml:space="preserve"> Развитие малого и среднего предпринимательства:</w:t>
      </w:r>
    </w:p>
    <w:p w:rsidR="00732609" w:rsidRDefault="00732609" w:rsidP="00E20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876082">
        <w:rPr>
          <w:rFonts w:ascii="Times New Roman" w:hAnsi="Times New Roman"/>
          <w:sz w:val="24"/>
          <w:szCs w:val="24"/>
        </w:rPr>
        <w:t>величение вклада субъектов малого и среднего предпринимательства в экономику Московской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2609" w:rsidRPr="00542978" w:rsidRDefault="00732609" w:rsidP="00E20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малого и среднего предпринимательства;</w:t>
      </w:r>
    </w:p>
    <w:p w:rsidR="00732609" w:rsidRPr="00542978" w:rsidRDefault="00732609" w:rsidP="00E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42978">
        <w:rPr>
          <w:rFonts w:ascii="Times New Roman" w:hAnsi="Times New Roman"/>
          <w:sz w:val="24"/>
          <w:szCs w:val="24"/>
        </w:rPr>
        <w:t xml:space="preserve">увеличение доли оборота малых и средних предприятий в общем обороте по полному кругу предприятий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542978">
        <w:rPr>
          <w:rFonts w:ascii="Times New Roman" w:hAnsi="Times New Roman"/>
          <w:sz w:val="24"/>
          <w:szCs w:val="24"/>
        </w:rPr>
        <w:t>;</w:t>
      </w:r>
    </w:p>
    <w:p w:rsidR="00732609" w:rsidRPr="00542978" w:rsidRDefault="00732609" w:rsidP="00E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42978">
        <w:rPr>
          <w:rFonts w:ascii="Times New Roman" w:hAnsi="Times New Roman"/>
          <w:sz w:val="24"/>
          <w:szCs w:val="24"/>
        </w:rPr>
        <w:t>увеличение числа создаваемых рабочих мест субъектами малого и среднего предпринимательства;</w:t>
      </w:r>
    </w:p>
    <w:p w:rsidR="00732609" w:rsidRPr="00542978" w:rsidRDefault="00732609" w:rsidP="00E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42978">
        <w:rPr>
          <w:rFonts w:ascii="Times New Roman" w:hAnsi="Times New Roman"/>
          <w:sz w:val="24"/>
          <w:szCs w:val="24"/>
        </w:rPr>
        <w:t>увеличение средней численности 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2978">
        <w:rPr>
          <w:rFonts w:ascii="Times New Roman" w:hAnsi="Times New Roman"/>
          <w:sz w:val="24"/>
          <w:szCs w:val="24"/>
        </w:rPr>
        <w:t>(без внешних совместителей) субъектов малого и среднего предпринимательства в среднесписочной численности 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2978">
        <w:rPr>
          <w:rFonts w:ascii="Times New Roman" w:hAnsi="Times New Roman"/>
          <w:sz w:val="24"/>
          <w:szCs w:val="24"/>
        </w:rPr>
        <w:t>(без внешних совместителей) всех предприятий и организаций города;</w:t>
      </w:r>
    </w:p>
    <w:p w:rsidR="00732609" w:rsidRDefault="00732609" w:rsidP="00E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42978">
        <w:rPr>
          <w:rFonts w:ascii="Times New Roman" w:hAnsi="Times New Roman"/>
          <w:sz w:val="24"/>
          <w:szCs w:val="24"/>
        </w:rPr>
        <w:t>увеличение среднемесячной заработной платы работников малых и средних предприятий города.</w:t>
      </w:r>
    </w:p>
    <w:p w:rsidR="00732609" w:rsidRPr="00542978" w:rsidRDefault="00732609" w:rsidP="00E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F2290">
        <w:rPr>
          <w:rFonts w:ascii="Times New Roman" w:hAnsi="Times New Roman"/>
          <w:sz w:val="24"/>
          <w:szCs w:val="24"/>
          <w:u w:val="single"/>
        </w:rPr>
        <w:t xml:space="preserve">Задача 2. </w:t>
      </w:r>
      <w:r w:rsidRPr="00542978">
        <w:rPr>
          <w:rFonts w:ascii="Times New Roman" w:hAnsi="Times New Roman"/>
          <w:sz w:val="24"/>
          <w:szCs w:val="24"/>
        </w:rPr>
        <w:t xml:space="preserve">Развитие потребительского рынка и услуг: </w:t>
      </w:r>
    </w:p>
    <w:p w:rsidR="00732609" w:rsidRDefault="00732609" w:rsidP="00E20B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2978">
        <w:rPr>
          <w:rFonts w:ascii="Times New Roman" w:hAnsi="Times New Roman"/>
          <w:sz w:val="24"/>
          <w:szCs w:val="24"/>
        </w:rPr>
        <w:t xml:space="preserve">обеспечение населения (торговой) площадью торговых объектов; </w:t>
      </w:r>
    </w:p>
    <w:p w:rsidR="00732609" w:rsidRPr="00EF2290" w:rsidRDefault="00732609" w:rsidP="00E20B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2978">
        <w:rPr>
          <w:rFonts w:ascii="Times New Roman" w:hAnsi="Times New Roman"/>
          <w:sz w:val="24"/>
          <w:szCs w:val="24"/>
        </w:rPr>
        <w:t>обеспечение населения услугами общественного питания</w:t>
      </w:r>
      <w:r>
        <w:rPr>
          <w:rFonts w:ascii="Times New Roman" w:hAnsi="Times New Roman"/>
          <w:sz w:val="24"/>
          <w:szCs w:val="24"/>
        </w:rPr>
        <w:t>;</w:t>
      </w:r>
    </w:p>
    <w:p w:rsidR="00732609" w:rsidRDefault="00732609" w:rsidP="00E20B6A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542978">
        <w:rPr>
          <w:rFonts w:ascii="Times New Roman" w:hAnsi="Times New Roman"/>
          <w:sz w:val="24"/>
          <w:szCs w:val="24"/>
        </w:rPr>
        <w:t>обеспечение населения бытовыми услугами</w:t>
      </w:r>
      <w:r>
        <w:rPr>
          <w:rFonts w:ascii="Times New Roman" w:hAnsi="Times New Roman"/>
          <w:sz w:val="24"/>
          <w:szCs w:val="24"/>
        </w:rPr>
        <w:t>;</w:t>
      </w:r>
    </w:p>
    <w:p w:rsidR="00732609" w:rsidRDefault="00732609" w:rsidP="00E20B6A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542978">
        <w:rPr>
          <w:rFonts w:ascii="Times New Roman" w:hAnsi="Times New Roman"/>
          <w:sz w:val="24"/>
          <w:szCs w:val="24"/>
        </w:rPr>
        <w:t>увеличение роста оборота розничной торговли на душу населения</w:t>
      </w:r>
      <w:r>
        <w:rPr>
          <w:rFonts w:ascii="Times New Roman" w:hAnsi="Times New Roman"/>
          <w:sz w:val="24"/>
          <w:szCs w:val="24"/>
        </w:rPr>
        <w:t>;</w:t>
      </w:r>
    </w:p>
    <w:p w:rsidR="00732609" w:rsidRDefault="00732609" w:rsidP="00E20B6A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542978">
        <w:rPr>
          <w:rFonts w:ascii="Times New Roman" w:hAnsi="Times New Roman"/>
          <w:sz w:val="24"/>
          <w:szCs w:val="24"/>
        </w:rPr>
        <w:t>прирост количества социально ориентированных предприятий розничной торговли</w:t>
      </w:r>
      <w:r>
        <w:rPr>
          <w:rFonts w:ascii="Times New Roman" w:hAnsi="Times New Roman"/>
          <w:sz w:val="24"/>
          <w:szCs w:val="24"/>
        </w:rPr>
        <w:t>;</w:t>
      </w:r>
    </w:p>
    <w:p w:rsidR="00732609" w:rsidRDefault="00732609" w:rsidP="00E20B6A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542978">
        <w:rPr>
          <w:rFonts w:ascii="Times New Roman" w:hAnsi="Times New Roman"/>
          <w:sz w:val="24"/>
          <w:szCs w:val="24"/>
        </w:rPr>
        <w:t>общественного питания и бытового обслуживания</w:t>
      </w:r>
      <w:r>
        <w:rPr>
          <w:rFonts w:ascii="Times New Roman" w:hAnsi="Times New Roman"/>
          <w:sz w:val="24"/>
          <w:szCs w:val="24"/>
        </w:rPr>
        <w:t>;</w:t>
      </w:r>
    </w:p>
    <w:p w:rsidR="00732609" w:rsidRDefault="00732609" w:rsidP="00E20B6A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542978">
        <w:rPr>
          <w:rFonts w:ascii="Times New Roman" w:hAnsi="Times New Roman"/>
          <w:sz w:val="24"/>
          <w:szCs w:val="24"/>
        </w:rPr>
        <w:t>увеличение количество проводимых тематических ярмарок</w:t>
      </w:r>
      <w:r>
        <w:rPr>
          <w:rFonts w:ascii="Times New Roman" w:hAnsi="Times New Roman"/>
          <w:sz w:val="24"/>
          <w:szCs w:val="24"/>
        </w:rPr>
        <w:t>.</w:t>
      </w:r>
    </w:p>
    <w:p w:rsidR="00732609" w:rsidRPr="00542978" w:rsidRDefault="00732609" w:rsidP="00E20B6A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F2290">
        <w:rPr>
          <w:rFonts w:ascii="Times New Roman" w:hAnsi="Times New Roman"/>
          <w:sz w:val="24"/>
          <w:szCs w:val="24"/>
          <w:u w:val="single"/>
        </w:rPr>
        <w:t>Задача 3</w:t>
      </w:r>
      <w:r w:rsidRPr="00542978">
        <w:rPr>
          <w:rFonts w:ascii="Times New Roman" w:hAnsi="Times New Roman"/>
          <w:sz w:val="24"/>
          <w:szCs w:val="24"/>
        </w:rPr>
        <w:t xml:space="preserve"> Развитие конкуренции: </w:t>
      </w:r>
    </w:p>
    <w:p w:rsidR="00732609" w:rsidRPr="00542978" w:rsidRDefault="00732609" w:rsidP="00E20B6A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42978">
        <w:rPr>
          <w:rFonts w:ascii="Times New Roman" w:hAnsi="Times New Roman"/>
          <w:sz w:val="24"/>
          <w:szCs w:val="24"/>
        </w:rPr>
        <w:t>уменьшение количества контрактов заключенных с единственным поставщиком (от общего количества закупок);</w:t>
      </w:r>
    </w:p>
    <w:p w:rsidR="00732609" w:rsidRDefault="00732609" w:rsidP="00E20B6A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42978">
        <w:rPr>
          <w:rFonts w:ascii="Times New Roman" w:hAnsi="Times New Roman"/>
          <w:sz w:val="24"/>
          <w:szCs w:val="24"/>
        </w:rPr>
        <w:t>снижение количества не состоявшихся контрактов, на которые не было подано заявок,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2978">
        <w:rPr>
          <w:rFonts w:ascii="Times New Roman" w:hAnsi="Times New Roman"/>
          <w:sz w:val="24"/>
          <w:szCs w:val="24"/>
        </w:rPr>
        <w:t>либо заявки были отклонены, либо была подана 1 заявка.</w:t>
      </w:r>
    </w:p>
    <w:p w:rsidR="00732609" w:rsidRPr="00542978" w:rsidRDefault="00732609" w:rsidP="00E20B6A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32609" w:rsidRDefault="00732609" w:rsidP="00E20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978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42978">
        <w:rPr>
          <w:rFonts w:ascii="Times New Roman" w:hAnsi="Times New Roman"/>
          <w:b/>
          <w:sz w:val="24"/>
          <w:szCs w:val="24"/>
        </w:rPr>
        <w:t>Планируемые результаты реализации Программы</w:t>
      </w:r>
    </w:p>
    <w:p w:rsidR="00732609" w:rsidRPr="00542978" w:rsidRDefault="00732609" w:rsidP="00E20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2609" w:rsidRPr="00542978" w:rsidRDefault="00732609" w:rsidP="00E20B6A">
      <w:pPr>
        <w:pStyle w:val="a"/>
        <w:spacing w:line="20" w:lineRule="atLeast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542978">
        <w:rPr>
          <w:sz w:val="24"/>
          <w:szCs w:val="24"/>
          <w:lang w:eastAsia="en-US"/>
        </w:rPr>
        <w:t>В результате выполнения мероприятий Программы  планируется достижение к 201</w:t>
      </w:r>
      <w:r>
        <w:rPr>
          <w:sz w:val="24"/>
          <w:szCs w:val="24"/>
          <w:lang w:eastAsia="en-US"/>
        </w:rPr>
        <w:t>8</w:t>
      </w:r>
      <w:r w:rsidRPr="00542978">
        <w:rPr>
          <w:sz w:val="24"/>
          <w:szCs w:val="24"/>
          <w:lang w:eastAsia="en-US"/>
        </w:rPr>
        <w:t xml:space="preserve"> году следующих целевых показателей:</w:t>
      </w:r>
    </w:p>
    <w:p w:rsidR="00732609" w:rsidRPr="005A658C" w:rsidRDefault="00732609" w:rsidP="00E20B6A">
      <w:pPr>
        <w:framePr w:hSpace="180" w:wrap="around" w:vAnchor="text" w:hAnchor="text" w:y="1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1.</w:t>
      </w:r>
      <w:r w:rsidRPr="005A658C">
        <w:rPr>
          <w:rFonts w:ascii="Times New Roman" w:hAnsi="Times New Roman"/>
          <w:sz w:val="24"/>
          <w:szCs w:val="24"/>
        </w:rPr>
        <w:t xml:space="preserve">Увеличение субъектов малого и среднего предпринимательства, осуществляющих деятельность в производственной сфере обрабатывающих производств и технологических инноваций, на 104% к 2018г.; </w:t>
      </w:r>
    </w:p>
    <w:p w:rsidR="00732609" w:rsidRPr="005A658C" w:rsidRDefault="00732609" w:rsidP="00E20B6A">
      <w:pPr>
        <w:framePr w:hSpace="180" w:wrap="around" w:vAnchor="text" w:hAnchor="text" w:y="1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58C">
        <w:rPr>
          <w:rFonts w:ascii="Times New Roman" w:hAnsi="Times New Roman"/>
          <w:sz w:val="24"/>
          <w:szCs w:val="24"/>
        </w:rPr>
        <w:t>2.Увеличение малых и средних предприятий (включая микро) в общем обороте по полному кругу предприятий городского округа на 100% к 2018 г.;</w:t>
      </w:r>
    </w:p>
    <w:p w:rsidR="00732609" w:rsidRPr="005A658C" w:rsidRDefault="00732609" w:rsidP="00E20B6A">
      <w:pPr>
        <w:framePr w:hSpace="180" w:wrap="around" w:vAnchor="text" w:hAnchor="text" w:y="1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58C">
        <w:rPr>
          <w:rFonts w:ascii="Times New Roman" w:hAnsi="Times New Roman"/>
          <w:sz w:val="24"/>
          <w:szCs w:val="24"/>
        </w:rPr>
        <w:t>3.Увеличение роста инвестиций в основной капитал малых предприятий к 2018году на 112%;</w:t>
      </w:r>
    </w:p>
    <w:p w:rsidR="00732609" w:rsidRPr="005A658C" w:rsidRDefault="00732609" w:rsidP="00E20B6A">
      <w:pPr>
        <w:framePr w:hSpace="180" w:wrap="around" w:vAnchor="text" w:hAnchor="text" w:y="1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58C">
        <w:rPr>
          <w:rFonts w:ascii="Times New Roman" w:hAnsi="Times New Roman"/>
          <w:sz w:val="24"/>
          <w:szCs w:val="24"/>
        </w:rPr>
        <w:t>4.Увеличение создаваемых мест субъектами малого и среднего предпринимательства, получившим поддержку, на 2 ед.к 2018г.;</w:t>
      </w:r>
    </w:p>
    <w:p w:rsidR="00732609" w:rsidRPr="005A658C" w:rsidRDefault="00732609" w:rsidP="00E20B6A">
      <w:pPr>
        <w:framePr w:hSpace="180" w:wrap="around" w:vAnchor="text" w:hAnchor="text" w:y="1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58C">
        <w:rPr>
          <w:rFonts w:ascii="Times New Roman" w:hAnsi="Times New Roman"/>
          <w:sz w:val="24"/>
          <w:szCs w:val="24"/>
        </w:rPr>
        <w:t>5.Увеличение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работников(без внешних совместителей) всех предприятий и организаций к 2018г. на 28 чел.;</w:t>
      </w:r>
    </w:p>
    <w:p w:rsidR="00732609" w:rsidRPr="005A658C" w:rsidRDefault="00732609" w:rsidP="00E20B6A">
      <w:pPr>
        <w:framePr w:hSpace="180" w:wrap="around" w:vAnchor="text" w:hAnchor="text" w:y="1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58C">
        <w:rPr>
          <w:rFonts w:ascii="Times New Roman" w:hAnsi="Times New Roman"/>
          <w:sz w:val="24"/>
          <w:szCs w:val="24"/>
        </w:rPr>
        <w:t xml:space="preserve">6.Увеличение уровня среднемесячной заработной платы работников малого и среднего предпринимательства к концу  2018 прогнозируется в размере 37200 руб.       </w:t>
      </w:r>
    </w:p>
    <w:p w:rsidR="00732609" w:rsidRPr="005A658C" w:rsidRDefault="00732609" w:rsidP="00E20B6A">
      <w:pPr>
        <w:framePr w:hSpace="180" w:wrap="around" w:vAnchor="text" w:hAnchor="text" w:y="1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658C">
        <w:rPr>
          <w:rFonts w:ascii="Times New Roman" w:hAnsi="Times New Roman"/>
          <w:sz w:val="24"/>
          <w:szCs w:val="24"/>
        </w:rPr>
        <w:t xml:space="preserve"> 7.Увеличение количества малых и средних предприятий (включая микропредприятия)в ЗАТО городской округ Молодежный на 100 жителей к 2018г. на 1,9 ед.</w:t>
      </w:r>
    </w:p>
    <w:p w:rsidR="00732609" w:rsidRPr="005A658C" w:rsidRDefault="00732609" w:rsidP="00E20B6A">
      <w:pPr>
        <w:framePr w:hSpace="180" w:wrap="around" w:vAnchor="text" w:hAnchor="text" w:y="18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A658C">
        <w:rPr>
          <w:rFonts w:ascii="Times New Roman" w:hAnsi="Times New Roman"/>
          <w:sz w:val="24"/>
          <w:szCs w:val="24"/>
        </w:rPr>
        <w:t xml:space="preserve"> 8.Обеспеченность населения площадью торговых объектов достигнет 631,7кв.м. на 1000 жителей по итогам реализации подпрограммы;</w:t>
      </w:r>
    </w:p>
    <w:p w:rsidR="00732609" w:rsidRPr="005A658C" w:rsidRDefault="00732609" w:rsidP="00E20B6A">
      <w:pPr>
        <w:framePr w:hSpace="180" w:wrap="around" w:vAnchor="text" w:hAnchor="text" w:y="18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A658C">
        <w:rPr>
          <w:rFonts w:ascii="Times New Roman" w:hAnsi="Times New Roman"/>
          <w:sz w:val="24"/>
          <w:szCs w:val="24"/>
        </w:rPr>
        <w:t>9. Обеспеченность населения услугами общественного питания достигнет 3,5  пос.мест на 1000 жителей по итогам реализации подпрограммы;</w:t>
      </w:r>
    </w:p>
    <w:p w:rsidR="00732609" w:rsidRPr="005A658C" w:rsidRDefault="00732609" w:rsidP="00E20B6A">
      <w:pPr>
        <w:framePr w:hSpace="180" w:wrap="around" w:vAnchor="text" w:hAnchor="text" w:y="18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A658C">
        <w:rPr>
          <w:rFonts w:ascii="Times New Roman" w:hAnsi="Times New Roman"/>
          <w:sz w:val="24"/>
          <w:szCs w:val="24"/>
        </w:rPr>
        <w:t xml:space="preserve">10. Обеспеченность населения бытовыми услугами достигнет </w:t>
      </w:r>
      <w:r>
        <w:rPr>
          <w:rFonts w:ascii="Times New Roman" w:hAnsi="Times New Roman"/>
          <w:sz w:val="24"/>
          <w:szCs w:val="24"/>
        </w:rPr>
        <w:t>1,1</w:t>
      </w:r>
      <w:r w:rsidRPr="005A658C">
        <w:rPr>
          <w:rFonts w:ascii="Times New Roman" w:hAnsi="Times New Roman"/>
          <w:sz w:val="24"/>
          <w:szCs w:val="24"/>
        </w:rPr>
        <w:t xml:space="preserve"> рабочих мест на 1000 жителей по итогам реализации подпрограммы;</w:t>
      </w:r>
    </w:p>
    <w:p w:rsidR="00732609" w:rsidRPr="005A658C" w:rsidRDefault="00732609" w:rsidP="00E20B6A">
      <w:pPr>
        <w:framePr w:hSpace="180" w:wrap="around" w:vAnchor="text" w:hAnchor="text" w:y="18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A658C">
        <w:rPr>
          <w:rFonts w:ascii="Times New Roman" w:hAnsi="Times New Roman"/>
          <w:sz w:val="24"/>
          <w:szCs w:val="24"/>
        </w:rPr>
        <w:t>11. Площадь торговых объектов предприятий розничной торговли к 2018 году составит 1993 кв.м.</w:t>
      </w:r>
    </w:p>
    <w:p w:rsidR="00732609" w:rsidRPr="005A658C" w:rsidRDefault="00732609" w:rsidP="00E20B6A">
      <w:pPr>
        <w:framePr w:hSpace="180" w:wrap="around" w:vAnchor="text" w:hAnchor="text" w:y="18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A658C">
        <w:rPr>
          <w:rFonts w:ascii="Times New Roman" w:hAnsi="Times New Roman"/>
          <w:sz w:val="24"/>
          <w:szCs w:val="24"/>
        </w:rPr>
        <w:t>12. Прирост торговых площадей с использованием внебюджетных инвестиций за весь период реализации подпрограммы составит 664,3.кв.м.;</w:t>
      </w:r>
    </w:p>
    <w:p w:rsidR="00732609" w:rsidRPr="005A658C" w:rsidRDefault="00732609" w:rsidP="00E20B6A">
      <w:pPr>
        <w:framePr w:hSpace="180" w:wrap="around" w:vAnchor="text" w:hAnchor="text" w:y="18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A658C">
        <w:rPr>
          <w:rFonts w:ascii="Times New Roman" w:hAnsi="Times New Roman"/>
          <w:sz w:val="24"/>
          <w:szCs w:val="24"/>
        </w:rPr>
        <w:t>13. Количество проведенных ярмарок за весь период реализации подпрограммы составит 19 единиц;</w:t>
      </w:r>
    </w:p>
    <w:p w:rsidR="00732609" w:rsidRPr="005A658C" w:rsidRDefault="00732609" w:rsidP="00E20B6A">
      <w:pPr>
        <w:framePr w:hSpace="180" w:wrap="around" w:vAnchor="text" w:hAnchor="text" w:y="18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A658C">
        <w:rPr>
          <w:rFonts w:ascii="Times New Roman" w:hAnsi="Times New Roman"/>
          <w:sz w:val="24"/>
          <w:szCs w:val="24"/>
        </w:rPr>
        <w:t>14. Периодичность информирования населения через интернет сайт и СМИ по вопросам защиты прав потребителей за весь период реализации подпрограммы составит 4 единицы;</w:t>
      </w:r>
    </w:p>
    <w:p w:rsidR="00732609" w:rsidRPr="005A658C" w:rsidRDefault="00732609" w:rsidP="00E20B6A">
      <w:pPr>
        <w:framePr w:hSpace="180" w:wrap="around" w:vAnchor="text" w:hAnchor="text" w:y="18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A658C">
        <w:rPr>
          <w:rFonts w:ascii="Times New Roman" w:hAnsi="Times New Roman"/>
          <w:sz w:val="24"/>
          <w:szCs w:val="24"/>
        </w:rPr>
        <w:t>15. Проведение мониторинга предприятий сферы потребительского рынка по соблюдению Закона о защите прав потребителей будет составлять 20% всех предприятий потребительского рынка ежегодно.</w:t>
      </w:r>
    </w:p>
    <w:p w:rsidR="00732609" w:rsidRPr="005A658C" w:rsidRDefault="00732609" w:rsidP="00E20B6A">
      <w:pPr>
        <w:framePr w:hSpace="180" w:wrap="around" w:vAnchor="text" w:hAnchor="text" w:y="1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658C">
        <w:rPr>
          <w:rFonts w:ascii="Times New Roman" w:hAnsi="Times New Roman"/>
          <w:sz w:val="24"/>
          <w:szCs w:val="24"/>
        </w:rPr>
        <w:t>16.Заключить трех сторонний договор о совместном использовании кладбища.</w:t>
      </w:r>
    </w:p>
    <w:p w:rsidR="00732609" w:rsidRPr="00542978" w:rsidRDefault="00732609" w:rsidP="00E20B6A">
      <w:pPr>
        <w:pStyle w:val="a"/>
        <w:spacing w:line="20" w:lineRule="atLeast"/>
        <w:jc w:val="both"/>
        <w:rPr>
          <w:sz w:val="24"/>
          <w:szCs w:val="24"/>
          <w:lang w:eastAsia="en-US"/>
        </w:rPr>
      </w:pPr>
      <w:r w:rsidRPr="005A658C">
        <w:rPr>
          <w:sz w:val="24"/>
          <w:szCs w:val="24"/>
          <w:lang w:eastAsia="en-US"/>
        </w:rPr>
        <w:t>17. Улучшение состояния конкурентной среды в микробизнесе, централизация закупок, увеличение доли торгов проведенные чрез открытые аукционы, привлечение потенциальных участников торгов, повышением информационной прозрачности деятельности органов государственной власти и местного самоуправления</w:t>
      </w:r>
      <w:r w:rsidRPr="008A04F4">
        <w:rPr>
          <w:sz w:val="24"/>
          <w:szCs w:val="24"/>
          <w:lang w:eastAsia="en-US"/>
        </w:rPr>
        <w:t xml:space="preserve"> Планируемые результаты реализации Программы приведены в Приложении №</w:t>
      </w:r>
      <w:r>
        <w:rPr>
          <w:sz w:val="24"/>
          <w:szCs w:val="24"/>
          <w:lang w:eastAsia="en-US"/>
        </w:rPr>
        <w:t xml:space="preserve"> </w:t>
      </w:r>
      <w:r w:rsidRPr="008A04F4">
        <w:rPr>
          <w:sz w:val="24"/>
          <w:szCs w:val="24"/>
          <w:lang w:eastAsia="en-US"/>
        </w:rPr>
        <w:t>1 к настоящей Программе.</w:t>
      </w:r>
    </w:p>
    <w:p w:rsidR="00732609" w:rsidRPr="00542978" w:rsidRDefault="00732609" w:rsidP="00E2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32609" w:rsidRDefault="00732609" w:rsidP="00E20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978">
        <w:rPr>
          <w:rFonts w:ascii="Times New Roman" w:hAnsi="Times New Roman"/>
          <w:b/>
          <w:sz w:val="24"/>
          <w:szCs w:val="24"/>
        </w:rPr>
        <w:t>5. Финансовое обеспечение Программы</w:t>
      </w:r>
    </w:p>
    <w:p w:rsidR="00732609" w:rsidRPr="00542978" w:rsidRDefault="00732609" w:rsidP="00E20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2609" w:rsidRPr="00407E7B" w:rsidRDefault="00732609" w:rsidP="00E20B6A">
      <w:pPr>
        <w:pStyle w:val="BodyTextInden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07E7B">
        <w:rPr>
          <w:sz w:val="24"/>
          <w:szCs w:val="24"/>
        </w:rPr>
        <w:t xml:space="preserve">Финансирование программных мероприятий, представленных в разделе </w:t>
      </w:r>
      <w:r>
        <w:rPr>
          <w:sz w:val="24"/>
          <w:szCs w:val="24"/>
        </w:rPr>
        <w:t>1.1</w:t>
      </w:r>
      <w:r w:rsidRPr="00407E7B">
        <w:rPr>
          <w:sz w:val="24"/>
          <w:szCs w:val="24"/>
        </w:rPr>
        <w:t xml:space="preserve"> настоящей </w:t>
      </w:r>
      <w:r>
        <w:rPr>
          <w:sz w:val="24"/>
          <w:szCs w:val="24"/>
        </w:rPr>
        <w:t>П</w:t>
      </w:r>
      <w:r w:rsidRPr="00407E7B">
        <w:rPr>
          <w:sz w:val="24"/>
          <w:szCs w:val="24"/>
        </w:rPr>
        <w:t xml:space="preserve">рограммы, осуществляется на конкурсной основе в форме субсидий юридическим лицам и индивидуальным предпринимателям. </w:t>
      </w:r>
    </w:p>
    <w:p w:rsidR="00732609" w:rsidRPr="00407E7B" w:rsidRDefault="00732609" w:rsidP="00E20B6A">
      <w:pPr>
        <w:pStyle w:val="BodyTextIndent"/>
        <w:jc w:val="both"/>
        <w:rPr>
          <w:sz w:val="24"/>
          <w:szCs w:val="24"/>
        </w:rPr>
      </w:pPr>
      <w:r w:rsidRPr="00407E7B">
        <w:rPr>
          <w:sz w:val="24"/>
          <w:szCs w:val="24"/>
        </w:rPr>
        <w:t xml:space="preserve">Субсидию могут получить субъекты малого и среднего предпринимательства (юридические лица и индивидуальные предприниматели), соответствующие критериям, установленным Федеральным законом от 24 июля 2007 года №209-ФЗ «О развитии малого и среднего предпринимательства в Российской Федерации» (далее – СМСП), зарегистрированные на территории </w:t>
      </w:r>
      <w:r>
        <w:rPr>
          <w:sz w:val="24"/>
          <w:szCs w:val="24"/>
        </w:rPr>
        <w:t>ЗАТО городской округ Молодежный</w:t>
      </w:r>
      <w:r w:rsidRPr="00407E7B">
        <w:rPr>
          <w:sz w:val="24"/>
          <w:szCs w:val="24"/>
        </w:rPr>
        <w:t xml:space="preserve">, не имеющие задолженности перед бюджетами всех уровней и реализующие на территории </w:t>
      </w:r>
      <w:r>
        <w:rPr>
          <w:sz w:val="24"/>
          <w:szCs w:val="24"/>
        </w:rPr>
        <w:t xml:space="preserve">ЗАТО городской округ Молодежный </w:t>
      </w:r>
      <w:r w:rsidRPr="00407E7B">
        <w:rPr>
          <w:sz w:val="24"/>
          <w:szCs w:val="24"/>
        </w:rPr>
        <w:t xml:space="preserve">  предпринимательские проекты, направленные на развитие хозяйственной деятельности, кроме:</w:t>
      </w:r>
    </w:p>
    <w:p w:rsidR="00732609" w:rsidRPr="00407E7B" w:rsidRDefault="00732609" w:rsidP="00E20B6A">
      <w:pPr>
        <w:pStyle w:val="BodyTextIndent"/>
        <w:jc w:val="both"/>
        <w:rPr>
          <w:sz w:val="24"/>
          <w:szCs w:val="24"/>
        </w:rPr>
      </w:pPr>
      <w:r w:rsidRPr="00407E7B">
        <w:rPr>
          <w:sz w:val="24"/>
          <w:szCs w:val="24"/>
        </w:rPr>
        <w:t>- кредитных организаций, страховых организаций, инвестиционных фондов, негосударственных пенсионных фондов, профессиональных участников рынка ценных бумаг, ломбардов;</w:t>
      </w:r>
    </w:p>
    <w:p w:rsidR="00732609" w:rsidRPr="00407E7B" w:rsidRDefault="00732609" w:rsidP="00E20B6A">
      <w:pPr>
        <w:pStyle w:val="BodyTextIndent"/>
        <w:jc w:val="both"/>
        <w:rPr>
          <w:sz w:val="24"/>
          <w:szCs w:val="24"/>
        </w:rPr>
      </w:pPr>
      <w:r w:rsidRPr="00407E7B">
        <w:rPr>
          <w:sz w:val="24"/>
          <w:szCs w:val="24"/>
        </w:rPr>
        <w:t>- участников соглашений о разделе продукции;</w:t>
      </w:r>
    </w:p>
    <w:p w:rsidR="00732609" w:rsidRPr="00407E7B" w:rsidRDefault="00732609" w:rsidP="00E20B6A">
      <w:pPr>
        <w:pStyle w:val="BodyTextIndent"/>
        <w:jc w:val="both"/>
        <w:rPr>
          <w:sz w:val="24"/>
          <w:szCs w:val="24"/>
        </w:rPr>
      </w:pPr>
      <w:r w:rsidRPr="00407E7B">
        <w:rPr>
          <w:sz w:val="24"/>
          <w:szCs w:val="24"/>
        </w:rPr>
        <w:t>- СМСП, являющихся в порядке, установленным законодательством Российской Федерации о валютном регулировании и валютном контроле, нерезидентов Российской Федерации, за  исключением случаев, предусмотренных международными договорами Российской Федерации;</w:t>
      </w:r>
    </w:p>
    <w:p w:rsidR="00732609" w:rsidRPr="00407E7B" w:rsidRDefault="00732609" w:rsidP="00E20B6A">
      <w:pPr>
        <w:pStyle w:val="BodyTextIndent"/>
        <w:jc w:val="both"/>
        <w:rPr>
          <w:sz w:val="24"/>
          <w:szCs w:val="24"/>
        </w:rPr>
      </w:pPr>
      <w:r w:rsidRPr="00407E7B">
        <w:rPr>
          <w:sz w:val="24"/>
          <w:szCs w:val="24"/>
        </w:rPr>
        <w:t>- СМСП, осуществляющие риэлтерскую деятельность и сдачу в наем жилых и нежилых помещений (за исключением гостиниц), торговых мест;</w:t>
      </w:r>
    </w:p>
    <w:p w:rsidR="00732609" w:rsidRPr="00407E7B" w:rsidRDefault="00732609" w:rsidP="00E20B6A">
      <w:pPr>
        <w:pStyle w:val="BodyTextIndent"/>
        <w:jc w:val="both"/>
        <w:rPr>
          <w:sz w:val="24"/>
          <w:szCs w:val="24"/>
        </w:rPr>
      </w:pPr>
      <w:r w:rsidRPr="00407E7B">
        <w:rPr>
          <w:sz w:val="24"/>
          <w:szCs w:val="24"/>
        </w:rPr>
        <w:t>- СМСП, осуществляющих розничную и оптовую реализацию подакцизных товаров (алкогольной продукции, табачных изделий, нефтепродуктов), а также пива и слабоалкогольной продукции;</w:t>
      </w:r>
    </w:p>
    <w:p w:rsidR="00732609" w:rsidRPr="00407E7B" w:rsidRDefault="00732609" w:rsidP="00E20B6A">
      <w:pPr>
        <w:pStyle w:val="BodyTextIndent"/>
        <w:jc w:val="both"/>
        <w:rPr>
          <w:sz w:val="24"/>
          <w:szCs w:val="24"/>
        </w:rPr>
      </w:pPr>
      <w:r w:rsidRPr="00407E7B">
        <w:rPr>
          <w:sz w:val="24"/>
          <w:szCs w:val="24"/>
        </w:rPr>
        <w:t>- СМСП, размер средней заработной платы работников, на которых менее 15 000 рублей.</w:t>
      </w:r>
    </w:p>
    <w:p w:rsidR="00732609" w:rsidRPr="00407E7B" w:rsidRDefault="00732609" w:rsidP="00E20B6A">
      <w:pPr>
        <w:pStyle w:val="BodyTextIndent"/>
        <w:jc w:val="both"/>
        <w:rPr>
          <w:sz w:val="24"/>
          <w:szCs w:val="24"/>
        </w:rPr>
      </w:pPr>
      <w:r w:rsidRPr="00407E7B">
        <w:rPr>
          <w:sz w:val="24"/>
          <w:szCs w:val="24"/>
        </w:rPr>
        <w:t xml:space="preserve">Субсидии предоставляются на условиях софинансирования расходов на расширение и развитие деятельности субъектов малого и среднего предпринимательства. </w:t>
      </w:r>
    </w:p>
    <w:p w:rsidR="00732609" w:rsidRPr="00FA67E5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Pr="008A04F4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04F4">
        <w:rPr>
          <w:rFonts w:ascii="Times New Roman" w:hAnsi="Times New Roman"/>
          <w:b/>
          <w:sz w:val="24"/>
          <w:szCs w:val="24"/>
        </w:rPr>
        <w:t>6. Ресурсное</w:t>
      </w:r>
      <w:r w:rsidRPr="00542978">
        <w:rPr>
          <w:rFonts w:ascii="Times New Roman" w:hAnsi="Times New Roman"/>
          <w:b/>
          <w:sz w:val="24"/>
          <w:szCs w:val="24"/>
        </w:rPr>
        <w:t xml:space="preserve"> обеспечение Программы</w:t>
      </w:r>
    </w:p>
    <w:p w:rsidR="00732609" w:rsidRPr="00542978" w:rsidRDefault="00732609" w:rsidP="00E20B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2609" w:rsidRPr="008A04F4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04F4">
        <w:rPr>
          <w:rFonts w:ascii="Times New Roman" w:hAnsi="Times New Roman"/>
          <w:sz w:val="24"/>
          <w:szCs w:val="24"/>
        </w:rPr>
        <w:t xml:space="preserve">Финансирование мероприятий Программы обеспечивается за счет средств бюджета </w:t>
      </w:r>
      <w:r>
        <w:rPr>
          <w:rFonts w:ascii="Times New Roman" w:hAnsi="Times New Roman"/>
          <w:sz w:val="24"/>
          <w:szCs w:val="24"/>
        </w:rPr>
        <w:t xml:space="preserve">ЗАТО </w:t>
      </w:r>
      <w:r w:rsidRPr="008A04F4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й</w:t>
      </w:r>
      <w:r w:rsidRPr="008A04F4">
        <w:rPr>
          <w:rFonts w:ascii="Times New Roman" w:hAnsi="Times New Roman"/>
          <w:sz w:val="24"/>
          <w:szCs w:val="24"/>
        </w:rPr>
        <w:t xml:space="preserve"> округ </w:t>
      </w:r>
      <w:r>
        <w:rPr>
          <w:rFonts w:ascii="Times New Roman" w:hAnsi="Times New Roman"/>
          <w:sz w:val="24"/>
          <w:szCs w:val="24"/>
        </w:rPr>
        <w:t>Молодежный</w:t>
      </w:r>
      <w:r w:rsidRPr="008A04F4">
        <w:rPr>
          <w:rFonts w:ascii="Times New Roman" w:hAnsi="Times New Roman"/>
          <w:sz w:val="24"/>
          <w:szCs w:val="24"/>
        </w:rPr>
        <w:t xml:space="preserve"> Московской области и бюджета Московской области. Общий объем средств, направляемых на реализацию мероприятий настоящей Программы в 2014-2018 годах, составляет </w:t>
      </w:r>
      <w:r>
        <w:rPr>
          <w:rFonts w:ascii="Times New Roman" w:hAnsi="Times New Roman"/>
          <w:sz w:val="24"/>
          <w:szCs w:val="24"/>
        </w:rPr>
        <w:t>500</w:t>
      </w:r>
      <w:r w:rsidRPr="008A04F4">
        <w:rPr>
          <w:rFonts w:ascii="Times New Roman" w:hAnsi="Times New Roman"/>
          <w:sz w:val="24"/>
          <w:szCs w:val="24"/>
        </w:rPr>
        <w:t xml:space="preserve"> тыс. рублей,</w:t>
      </w:r>
    </w:p>
    <w:p w:rsidR="00732609" w:rsidRPr="00542978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42978">
        <w:rPr>
          <w:rFonts w:ascii="Times New Roman" w:hAnsi="Times New Roman"/>
          <w:sz w:val="24"/>
          <w:szCs w:val="24"/>
        </w:rPr>
        <w:t xml:space="preserve">В течение реализации данной программы объемы финансирования подлежат уточнению исходя из возможностей бюджета </w:t>
      </w:r>
      <w:r>
        <w:rPr>
          <w:rFonts w:ascii="Times New Roman" w:hAnsi="Times New Roman"/>
          <w:sz w:val="24"/>
          <w:szCs w:val="24"/>
        </w:rPr>
        <w:t xml:space="preserve">ЗАТО </w:t>
      </w:r>
      <w:r w:rsidRPr="00542978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й</w:t>
      </w:r>
      <w:r w:rsidRPr="00542978">
        <w:rPr>
          <w:rFonts w:ascii="Times New Roman" w:hAnsi="Times New Roman"/>
          <w:sz w:val="24"/>
          <w:szCs w:val="24"/>
        </w:rPr>
        <w:t xml:space="preserve"> округ </w:t>
      </w:r>
      <w:r>
        <w:rPr>
          <w:rFonts w:ascii="Times New Roman" w:hAnsi="Times New Roman"/>
          <w:sz w:val="24"/>
          <w:szCs w:val="24"/>
        </w:rPr>
        <w:t>Молодежный</w:t>
      </w:r>
      <w:r w:rsidRPr="00542978">
        <w:rPr>
          <w:rFonts w:ascii="Times New Roman" w:hAnsi="Times New Roman"/>
          <w:sz w:val="24"/>
          <w:szCs w:val="24"/>
        </w:rPr>
        <w:t xml:space="preserve"> Московской области и выделяемых средств из бюджета Московской области. </w:t>
      </w:r>
    </w:p>
    <w:p w:rsidR="00732609" w:rsidRPr="00542978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42978">
        <w:rPr>
          <w:rFonts w:ascii="Times New Roman" w:hAnsi="Times New Roman"/>
          <w:sz w:val="24"/>
          <w:szCs w:val="24"/>
        </w:rPr>
        <w:t>При изменении объемов финансирования Программы в установленном порядке проводится корректировка целевых индикаторов и их значений.</w:t>
      </w:r>
    </w:p>
    <w:p w:rsidR="00732609" w:rsidRPr="008A04F4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04F4">
        <w:rPr>
          <w:rFonts w:ascii="Times New Roman" w:hAnsi="Times New Roman"/>
          <w:sz w:val="24"/>
          <w:szCs w:val="24"/>
        </w:rPr>
        <w:t>Обоснование объема финансовых ресурсов, необходимых для реализации Программы представлено в Приложении № 2 к настоящей Программе.</w:t>
      </w:r>
    </w:p>
    <w:p w:rsidR="00732609" w:rsidRDefault="00732609" w:rsidP="00E2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32609" w:rsidRDefault="00732609" w:rsidP="00E20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542978">
        <w:rPr>
          <w:rFonts w:ascii="Times New Roman" w:hAnsi="Times New Roman"/>
          <w:b/>
          <w:sz w:val="24"/>
          <w:szCs w:val="24"/>
        </w:rPr>
        <w:t>. Состав, форма и сроки предоставления отчетности о ходе</w:t>
      </w:r>
    </w:p>
    <w:p w:rsidR="00732609" w:rsidRPr="00542978" w:rsidRDefault="00732609" w:rsidP="00E20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2978">
        <w:rPr>
          <w:rFonts w:ascii="Times New Roman" w:hAnsi="Times New Roman"/>
          <w:b/>
          <w:sz w:val="24"/>
          <w:szCs w:val="24"/>
        </w:rPr>
        <w:t xml:space="preserve"> реализации мероприятий Программы</w:t>
      </w:r>
    </w:p>
    <w:p w:rsidR="00732609" w:rsidRPr="00542978" w:rsidRDefault="00732609" w:rsidP="00E20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Pr="006E3B7B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E3B7B">
        <w:rPr>
          <w:rFonts w:ascii="Times New Roman" w:hAnsi="Times New Roman"/>
          <w:sz w:val="24"/>
          <w:szCs w:val="24"/>
        </w:rPr>
        <w:t xml:space="preserve">Заказчиком Программы является Администрация ЗАТО городской округ </w:t>
      </w:r>
      <w:r>
        <w:rPr>
          <w:rFonts w:ascii="Times New Roman" w:hAnsi="Times New Roman"/>
          <w:sz w:val="24"/>
          <w:szCs w:val="24"/>
        </w:rPr>
        <w:t>Молодежный</w:t>
      </w:r>
      <w:r w:rsidRPr="006E3B7B">
        <w:rPr>
          <w:rFonts w:ascii="Times New Roman" w:hAnsi="Times New Roman"/>
          <w:sz w:val="24"/>
          <w:szCs w:val="24"/>
        </w:rPr>
        <w:t xml:space="preserve"> Московской области, в задачи которой входит организация выполнения мероприятий Программы и координация взаимодействия исполнителей.</w:t>
      </w:r>
    </w:p>
    <w:p w:rsidR="00732609" w:rsidRPr="006E3B7B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E3B7B">
        <w:rPr>
          <w:rFonts w:ascii="Times New Roman" w:hAnsi="Times New Roman"/>
          <w:sz w:val="24"/>
          <w:szCs w:val="24"/>
        </w:rPr>
        <w:t xml:space="preserve">Сбор предложений на участие в Программе и оформление предварительных заключений осуществляет специалист, ответственный за сбор данной информации. Дальнейшее рассмотрение предложений с учетом реально выделенных на очередной финансовый год средств муниципального бюджета, определение приоритетов и очередность финансирования мероприятий Программы на текущий год осуществляется Советом депутатов </w:t>
      </w:r>
      <w:r>
        <w:rPr>
          <w:rFonts w:ascii="Times New Roman" w:hAnsi="Times New Roman"/>
          <w:sz w:val="24"/>
          <w:szCs w:val="24"/>
        </w:rPr>
        <w:t>ЗАТО городской округ Молодежный</w:t>
      </w:r>
      <w:r w:rsidRPr="006E3B7B">
        <w:rPr>
          <w:rFonts w:ascii="Times New Roman" w:hAnsi="Times New Roman"/>
          <w:sz w:val="24"/>
          <w:szCs w:val="24"/>
        </w:rPr>
        <w:t xml:space="preserve">. </w:t>
      </w:r>
    </w:p>
    <w:p w:rsidR="00732609" w:rsidRPr="006E3B7B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E3B7B">
        <w:rPr>
          <w:rFonts w:ascii="Times New Roman" w:hAnsi="Times New Roman"/>
          <w:sz w:val="24"/>
          <w:szCs w:val="24"/>
        </w:rPr>
        <w:t>Заказчик несет ответственность за своевременную реализацию мероприятий Программы.</w:t>
      </w:r>
    </w:p>
    <w:p w:rsidR="00732609" w:rsidRPr="006E3B7B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E3B7B">
        <w:rPr>
          <w:rFonts w:ascii="Times New Roman" w:hAnsi="Times New Roman"/>
          <w:sz w:val="24"/>
          <w:szCs w:val="24"/>
        </w:rPr>
        <w:t>Полномочия по мероприятиям, предусмотренным настоящей Программой, а именно: организации проведения конкурсов, утверждению положения о конкурсах, утверждению конкурсной документации, установлению критериев оценки конкурсных проектов, принципов определения объемов финансовой поддержки победителей конкурсов, утверждению состава конкурсных комиссий и заключение договоров с победителями конкурсов на основании протоколов о результатах конкурсов, осуществляются заказчиком путем принятия соответствующих постановлений.</w:t>
      </w:r>
    </w:p>
    <w:p w:rsidR="00732609" w:rsidRPr="006E3B7B" w:rsidRDefault="00732609" w:rsidP="00E2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E3B7B">
        <w:rPr>
          <w:rFonts w:ascii="Times New Roman" w:hAnsi="Times New Roman"/>
          <w:sz w:val="24"/>
          <w:szCs w:val="24"/>
        </w:rPr>
        <w:t xml:space="preserve">Координация за исполнением Программы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6E3B7B">
        <w:rPr>
          <w:rFonts w:ascii="Times New Roman" w:hAnsi="Times New Roman"/>
          <w:sz w:val="24"/>
          <w:szCs w:val="24"/>
        </w:rPr>
        <w:t xml:space="preserve">дминистрацией </w:t>
      </w:r>
      <w:r>
        <w:rPr>
          <w:rFonts w:ascii="Times New Roman" w:hAnsi="Times New Roman"/>
          <w:sz w:val="24"/>
          <w:szCs w:val="24"/>
        </w:rPr>
        <w:t xml:space="preserve">ЗАТО </w:t>
      </w:r>
      <w:r w:rsidRPr="006E3B7B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й</w:t>
      </w:r>
      <w:r w:rsidRPr="006E3B7B">
        <w:rPr>
          <w:rFonts w:ascii="Times New Roman" w:hAnsi="Times New Roman"/>
          <w:sz w:val="24"/>
          <w:szCs w:val="24"/>
        </w:rPr>
        <w:t xml:space="preserve"> округ </w:t>
      </w:r>
      <w:r>
        <w:rPr>
          <w:rFonts w:ascii="Times New Roman" w:hAnsi="Times New Roman"/>
          <w:sz w:val="24"/>
          <w:szCs w:val="24"/>
        </w:rPr>
        <w:t>Молодежный</w:t>
      </w:r>
      <w:r w:rsidRPr="006E3B7B">
        <w:rPr>
          <w:rFonts w:ascii="Times New Roman" w:hAnsi="Times New Roman"/>
          <w:sz w:val="24"/>
          <w:szCs w:val="24"/>
        </w:rPr>
        <w:t xml:space="preserve"> (в лице </w:t>
      </w:r>
      <w:r>
        <w:rPr>
          <w:rFonts w:ascii="Times New Roman" w:hAnsi="Times New Roman"/>
          <w:sz w:val="24"/>
          <w:szCs w:val="24"/>
        </w:rPr>
        <w:t>заместителя руководителя администрации по финансовым вопросам- начальник бюджетно-финансового отдела</w:t>
      </w:r>
      <w:r w:rsidRPr="006E3B7B">
        <w:rPr>
          <w:rFonts w:ascii="Times New Roman" w:hAnsi="Times New Roman"/>
          <w:sz w:val="24"/>
          <w:szCs w:val="24"/>
        </w:rPr>
        <w:t xml:space="preserve">). </w:t>
      </w:r>
    </w:p>
    <w:p w:rsidR="00732609" w:rsidRPr="00542978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3B7B">
        <w:rPr>
          <w:rFonts w:ascii="Times New Roman" w:hAnsi="Times New Roman"/>
          <w:b/>
          <w:sz w:val="24"/>
          <w:szCs w:val="24"/>
        </w:rPr>
        <w:t>Контроль и отчетность при реализации муниципальной программы</w:t>
      </w:r>
    </w:p>
    <w:p w:rsidR="00732609" w:rsidRPr="006E3B7B" w:rsidRDefault="00732609" w:rsidP="00E20B6A">
      <w:pPr>
        <w:tabs>
          <w:tab w:val="left" w:pos="4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2609" w:rsidRPr="0095791B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5791B">
        <w:rPr>
          <w:rFonts w:ascii="Times New Roman" w:hAnsi="Times New Roman"/>
          <w:sz w:val="24"/>
          <w:szCs w:val="24"/>
        </w:rPr>
        <w:t xml:space="preserve">Контроль за реализацией муниципальной программы осуществляется </w:t>
      </w:r>
      <w:r>
        <w:rPr>
          <w:rFonts w:ascii="Times New Roman" w:hAnsi="Times New Roman"/>
          <w:sz w:val="24"/>
          <w:szCs w:val="24"/>
        </w:rPr>
        <w:t>руководителем администрации ЗАТО</w:t>
      </w:r>
      <w:r w:rsidRPr="009579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городской </w:t>
      </w:r>
      <w:r w:rsidRPr="0095791B">
        <w:rPr>
          <w:rFonts w:ascii="Times New Roman" w:hAnsi="Times New Roman"/>
          <w:sz w:val="24"/>
          <w:szCs w:val="24"/>
        </w:rPr>
        <w:t xml:space="preserve">округ </w:t>
      </w:r>
      <w:r>
        <w:rPr>
          <w:rFonts w:ascii="Times New Roman" w:hAnsi="Times New Roman"/>
          <w:sz w:val="24"/>
          <w:szCs w:val="24"/>
        </w:rPr>
        <w:t>Молодежный</w:t>
      </w:r>
      <w:r w:rsidRPr="0095791B">
        <w:rPr>
          <w:rFonts w:ascii="Times New Roman" w:hAnsi="Times New Roman"/>
          <w:sz w:val="24"/>
          <w:szCs w:val="24"/>
        </w:rPr>
        <w:t xml:space="preserve"> Московской области.</w:t>
      </w: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1B">
        <w:rPr>
          <w:rFonts w:ascii="Times New Roman" w:hAnsi="Times New Roman"/>
          <w:sz w:val="24"/>
          <w:szCs w:val="24"/>
        </w:rPr>
        <w:t>С целью контроля за реализацией муниципальной программы ежегодно готовится годовой отчет о реализации муниципальной программы и до 1 марта года, следующего за отчетным.</w:t>
      </w: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32609" w:rsidSect="003F40C3">
          <w:pgSz w:w="11906" w:h="16838" w:code="9"/>
          <w:pgMar w:top="1134" w:right="851" w:bottom="1134" w:left="1134" w:header="720" w:footer="720" w:gutter="0"/>
          <w:cols w:space="720"/>
        </w:sectPr>
      </w:pPr>
    </w:p>
    <w:p w:rsidR="00732609" w:rsidRPr="009F0632" w:rsidRDefault="00732609" w:rsidP="00E20B6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F0632">
        <w:rPr>
          <w:rFonts w:ascii="Times New Roman" w:hAnsi="Times New Roman" w:cs="Times New Roman"/>
          <w:b/>
          <w:sz w:val="24"/>
          <w:szCs w:val="24"/>
          <w:lang w:eastAsia="en-US"/>
        </w:rPr>
        <w:t>ПЛАНИРУЕМЫЕ РЕЗУЛЬТАТЫ РЕАЛИЗАЦИИ МУНИЦИПАЛЬНОЙ ПРОГРАММЫ «ПРЕДПРИНИМАТЕЛЬСТВО В ЗАТО ГОРОДСКОЙ  ОКРУГ  МОЛОДЕЖНЫЙ МОСКОВСКОЙ ОБЛАСТИ НА 2014-2018 гг.»</w:t>
      </w: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4"/>
        <w:gridCol w:w="2084"/>
        <w:gridCol w:w="1439"/>
        <w:gridCol w:w="1198"/>
        <w:gridCol w:w="2134"/>
        <w:gridCol w:w="1243"/>
        <w:gridCol w:w="1690"/>
        <w:gridCol w:w="858"/>
        <w:gridCol w:w="859"/>
        <w:gridCol w:w="859"/>
        <w:gridCol w:w="859"/>
        <w:gridCol w:w="859"/>
      </w:tblGrid>
      <w:tr w:rsidR="00732609" w:rsidRPr="00724E4D" w:rsidTr="00724E4D">
        <w:tc>
          <w:tcPr>
            <w:tcW w:w="704" w:type="dxa"/>
            <w:vMerge w:val="restart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E4D">
              <w:rPr>
                <w:rFonts w:ascii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2084" w:type="dxa"/>
            <w:vMerge w:val="restart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E4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Задачи,      </w:t>
            </w:r>
            <w:r w:rsidRPr="00724E4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  <w:t>направленные на достижение</w:t>
            </w:r>
            <w:r w:rsidRPr="00724E4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  <w:t xml:space="preserve">цели    </w:t>
            </w:r>
          </w:p>
        </w:tc>
        <w:tc>
          <w:tcPr>
            <w:tcW w:w="2637" w:type="dxa"/>
            <w:gridSpan w:val="2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E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Планируемый объем    </w:t>
            </w:r>
            <w:r w:rsidRPr="00724E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 xml:space="preserve">финансирования       </w:t>
            </w:r>
            <w:r w:rsidRPr="00724E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 xml:space="preserve">на решение данной    </w:t>
            </w:r>
            <w:r w:rsidRPr="00724E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 xml:space="preserve">задачи (тыс. руб.)   </w:t>
            </w:r>
          </w:p>
        </w:tc>
        <w:tc>
          <w:tcPr>
            <w:tcW w:w="213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E4D">
              <w:rPr>
                <w:rFonts w:ascii="Times New Roman" w:hAnsi="Times New Roman"/>
                <w:b/>
                <w:sz w:val="20"/>
                <w:szCs w:val="20"/>
              </w:rPr>
              <w:t>Показатели реализации мероприятий муниципальной программы (подпрограммы)</w:t>
            </w:r>
          </w:p>
        </w:tc>
        <w:tc>
          <w:tcPr>
            <w:tcW w:w="1243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E4D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690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E4D">
              <w:rPr>
                <w:rFonts w:ascii="Times New Roman" w:hAnsi="Times New Roman"/>
                <w:b/>
                <w:sz w:val="20"/>
                <w:szCs w:val="20"/>
              </w:rPr>
              <w:t>Отчетный базовый период/Базовое значение показателя (на начало реализации подпрограммы)</w:t>
            </w:r>
          </w:p>
        </w:tc>
        <w:tc>
          <w:tcPr>
            <w:tcW w:w="4294" w:type="dxa"/>
            <w:gridSpan w:val="5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E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Планируемое значение показателя по годам           </w:t>
            </w:r>
            <w:r w:rsidRPr="00724E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 xml:space="preserve">реализации                                         </w:t>
            </w:r>
          </w:p>
        </w:tc>
      </w:tr>
      <w:tr w:rsidR="00732609" w:rsidRPr="00724E4D" w:rsidTr="00724E4D">
        <w:trPr>
          <w:trHeight w:val="1613"/>
        </w:trPr>
        <w:tc>
          <w:tcPr>
            <w:tcW w:w="70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732609" w:rsidRPr="00724E4D" w:rsidRDefault="00732609" w:rsidP="003F40C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Бюджет  ЗАТО городской округ Молодежный   </w:t>
            </w:r>
            <w:r w:rsidRPr="00724E4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  <w:t xml:space="preserve">Московской </w:t>
            </w:r>
            <w:r w:rsidRPr="00724E4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  <w:t xml:space="preserve">области  </w:t>
            </w:r>
          </w:p>
        </w:tc>
        <w:tc>
          <w:tcPr>
            <w:tcW w:w="1198" w:type="dxa"/>
          </w:tcPr>
          <w:p w:rsidR="00732609" w:rsidRPr="00724E4D" w:rsidRDefault="00732609" w:rsidP="003F40C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Другие   </w:t>
            </w:r>
            <w:r w:rsidRPr="00724E4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  <w:t>источники</w:t>
            </w:r>
          </w:p>
        </w:tc>
        <w:tc>
          <w:tcPr>
            <w:tcW w:w="213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E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 год</w:t>
            </w:r>
          </w:p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32609" w:rsidRPr="00724E4D" w:rsidRDefault="00732609" w:rsidP="00222D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 год</w:t>
            </w:r>
          </w:p>
        </w:tc>
      </w:tr>
      <w:tr w:rsidR="00732609" w:rsidRPr="00724E4D" w:rsidTr="00724E4D">
        <w:tc>
          <w:tcPr>
            <w:tcW w:w="70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9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8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3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3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90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8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32609" w:rsidRPr="00724E4D" w:rsidTr="00724E4D">
        <w:tc>
          <w:tcPr>
            <w:tcW w:w="14786" w:type="dxa"/>
            <w:gridSpan w:val="12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E4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724E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24E4D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малого и среднего предпринимательства в ЗАТО городской округ Молодежный»</w:t>
            </w:r>
          </w:p>
        </w:tc>
      </w:tr>
      <w:tr w:rsidR="00732609" w:rsidRPr="00724E4D" w:rsidTr="00724E4D">
        <w:tc>
          <w:tcPr>
            <w:tcW w:w="704" w:type="dxa"/>
            <w:vMerge w:val="restart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84" w:type="dxa"/>
            <w:vMerge w:val="restart"/>
          </w:tcPr>
          <w:p w:rsidR="00732609" w:rsidRPr="00724E4D" w:rsidRDefault="00732609" w:rsidP="0072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 xml:space="preserve">Увеличение вклада субъектов малого и среднего предпринимательства в экономику Московской области </w:t>
            </w:r>
          </w:p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4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98" w:type="dxa"/>
            <w:vMerge w:val="restart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4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134" w:type="dxa"/>
          </w:tcPr>
          <w:p w:rsidR="00732609" w:rsidRPr="00724E4D" w:rsidRDefault="00732609" w:rsidP="005B1E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Число создаваемых рабочих мест субъектами малого и среднего предпринимательства, получившим поддержку*          </w:t>
            </w:r>
          </w:p>
        </w:tc>
        <w:tc>
          <w:tcPr>
            <w:tcW w:w="1243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690" w:type="dxa"/>
          </w:tcPr>
          <w:p w:rsidR="00732609" w:rsidRPr="00724E4D" w:rsidRDefault="00732609" w:rsidP="005B1E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8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732609" w:rsidRPr="00724E4D" w:rsidTr="00724E4D">
        <w:tc>
          <w:tcPr>
            <w:tcW w:w="70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732609" w:rsidRPr="00724E4D" w:rsidRDefault="00732609" w:rsidP="005B1E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субъектов малого и среднего предпринимательства, получивших государственную поддержку*</w:t>
            </w:r>
          </w:p>
        </w:tc>
        <w:tc>
          <w:tcPr>
            <w:tcW w:w="1243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690" w:type="dxa"/>
            <w:vAlign w:val="center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8" w:type="dxa"/>
            <w:vAlign w:val="center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dxa"/>
            <w:vAlign w:val="center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dxa"/>
            <w:vAlign w:val="center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dxa"/>
            <w:vAlign w:val="center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dxa"/>
            <w:vAlign w:val="center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732609" w:rsidRPr="00724E4D" w:rsidTr="00724E4D">
        <w:tc>
          <w:tcPr>
            <w:tcW w:w="70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732609" w:rsidRPr="00724E4D" w:rsidRDefault="00732609" w:rsidP="00724E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43" w:type="dxa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858" w:type="dxa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3,92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4,26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4,56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5,19</w:t>
            </w:r>
          </w:p>
        </w:tc>
      </w:tr>
      <w:tr w:rsidR="00732609" w:rsidRPr="00724E4D" w:rsidTr="00724E4D">
        <w:tc>
          <w:tcPr>
            <w:tcW w:w="70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732609" w:rsidRPr="00724E4D" w:rsidRDefault="00732609" w:rsidP="005B1E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малых и средних предприятий на 1000 жителей</w:t>
            </w:r>
          </w:p>
        </w:tc>
        <w:tc>
          <w:tcPr>
            <w:tcW w:w="1243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690" w:type="dxa"/>
            <w:vAlign w:val="center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858" w:type="dxa"/>
            <w:vAlign w:val="center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9" w:type="dxa"/>
            <w:vAlign w:val="center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9" w:type="dxa"/>
            <w:vAlign w:val="center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9" w:type="dxa"/>
            <w:vAlign w:val="center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859" w:type="dxa"/>
            <w:vAlign w:val="center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1,9</w:t>
            </w:r>
          </w:p>
        </w:tc>
      </w:tr>
      <w:tr w:rsidR="00732609" w:rsidRPr="00724E4D" w:rsidTr="00724E4D">
        <w:tc>
          <w:tcPr>
            <w:tcW w:w="70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732609" w:rsidRPr="00724E4D" w:rsidRDefault="00732609" w:rsidP="005B1E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вновь созданных предприятий малого среднего бизнеса</w:t>
            </w:r>
          </w:p>
        </w:tc>
        <w:tc>
          <w:tcPr>
            <w:tcW w:w="1243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690" w:type="dxa"/>
            <w:vAlign w:val="center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8" w:type="dxa"/>
            <w:vAlign w:val="center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9" w:type="dxa"/>
            <w:vAlign w:val="center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9" w:type="dxa"/>
            <w:vAlign w:val="center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9" w:type="dxa"/>
            <w:vAlign w:val="center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9" w:type="dxa"/>
            <w:vAlign w:val="center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732609" w:rsidRPr="00724E4D" w:rsidTr="00724E4D">
        <w:tc>
          <w:tcPr>
            <w:tcW w:w="70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732609" w:rsidRPr="00724E4D" w:rsidRDefault="00732609" w:rsidP="005B1E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Прирост малых и средних предприятий </w:t>
            </w:r>
          </w:p>
        </w:tc>
        <w:tc>
          <w:tcPr>
            <w:tcW w:w="1243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90" w:type="dxa"/>
            <w:vAlign w:val="center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8" w:type="dxa"/>
            <w:vAlign w:val="center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9" w:type="dxa"/>
            <w:vAlign w:val="center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9" w:type="dxa"/>
            <w:vAlign w:val="center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9" w:type="dxa"/>
            <w:vAlign w:val="center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9" w:type="dxa"/>
            <w:vAlign w:val="center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732609" w:rsidRPr="00724E4D" w:rsidTr="00724E4D">
        <w:tc>
          <w:tcPr>
            <w:tcW w:w="70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732609" w:rsidRPr="00724E4D" w:rsidRDefault="00732609" w:rsidP="005B1E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1243" w:type="dxa"/>
            <w:vAlign w:val="center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90" w:type="dxa"/>
            <w:vAlign w:val="center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8" w:type="dxa"/>
            <w:vAlign w:val="center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859" w:type="dxa"/>
            <w:vAlign w:val="center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859" w:type="dxa"/>
            <w:vAlign w:val="center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859" w:type="dxa"/>
            <w:vAlign w:val="center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9" w:type="dxa"/>
            <w:vAlign w:val="center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0,8</w:t>
            </w:r>
          </w:p>
        </w:tc>
      </w:tr>
      <w:tr w:rsidR="00732609" w:rsidRPr="00724E4D" w:rsidTr="00724E4D">
        <w:tc>
          <w:tcPr>
            <w:tcW w:w="70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732609" w:rsidRPr="00724E4D" w:rsidRDefault="00732609" w:rsidP="0072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 xml:space="preserve">Доля оборота малых и средних предприятий в общем обороте по полному кругу предприятий </w:t>
            </w:r>
          </w:p>
        </w:tc>
        <w:tc>
          <w:tcPr>
            <w:tcW w:w="1243" w:type="dxa"/>
          </w:tcPr>
          <w:p w:rsidR="00732609" w:rsidRPr="00724E4D" w:rsidRDefault="00732609" w:rsidP="005B1E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90" w:type="dxa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609" w:rsidRPr="00724E4D" w:rsidRDefault="00732609" w:rsidP="00724E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609" w:rsidRPr="00724E4D" w:rsidRDefault="00732609" w:rsidP="00724E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609" w:rsidRPr="00724E4D" w:rsidRDefault="00732609" w:rsidP="00724E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609" w:rsidRPr="00724E4D" w:rsidRDefault="00732609" w:rsidP="00724E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609" w:rsidRPr="00724E4D" w:rsidRDefault="00732609" w:rsidP="00724E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609" w:rsidRPr="00724E4D" w:rsidRDefault="00732609" w:rsidP="00724E4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32609" w:rsidRPr="00724E4D" w:rsidTr="00724E4D">
        <w:tc>
          <w:tcPr>
            <w:tcW w:w="70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732609" w:rsidRPr="00724E4D" w:rsidRDefault="00732609" w:rsidP="005B1E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Темп роста объема инвестиций в основной капитал малых предприятий</w:t>
            </w:r>
          </w:p>
        </w:tc>
        <w:tc>
          <w:tcPr>
            <w:tcW w:w="1243" w:type="dxa"/>
          </w:tcPr>
          <w:p w:rsidR="00732609" w:rsidRPr="00724E4D" w:rsidRDefault="00732609" w:rsidP="005B1E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%</w:t>
            </w:r>
          </w:p>
        </w:tc>
        <w:tc>
          <w:tcPr>
            <w:tcW w:w="1690" w:type="dxa"/>
            <w:vAlign w:val="center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858" w:type="dxa"/>
            <w:vAlign w:val="center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859" w:type="dxa"/>
            <w:vAlign w:val="center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859" w:type="dxa"/>
            <w:vAlign w:val="center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859" w:type="dxa"/>
            <w:vAlign w:val="center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859" w:type="dxa"/>
            <w:vAlign w:val="center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</w:t>
            </w:r>
          </w:p>
        </w:tc>
      </w:tr>
      <w:tr w:rsidR="00732609" w:rsidRPr="00724E4D" w:rsidTr="00724E4D">
        <w:tc>
          <w:tcPr>
            <w:tcW w:w="70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732609" w:rsidRPr="00724E4D" w:rsidRDefault="00732609" w:rsidP="005B1E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Среднемесячная заработная плата работников малых и средних предприятий города.</w:t>
            </w:r>
          </w:p>
        </w:tc>
        <w:tc>
          <w:tcPr>
            <w:tcW w:w="1243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690" w:type="dxa"/>
            <w:vAlign w:val="center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22,08</w:t>
            </w:r>
          </w:p>
        </w:tc>
        <w:tc>
          <w:tcPr>
            <w:tcW w:w="858" w:type="dxa"/>
            <w:vAlign w:val="center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24,17</w:t>
            </w:r>
          </w:p>
        </w:tc>
        <w:tc>
          <w:tcPr>
            <w:tcW w:w="859" w:type="dxa"/>
            <w:vAlign w:val="center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25,42</w:t>
            </w:r>
          </w:p>
        </w:tc>
        <w:tc>
          <w:tcPr>
            <w:tcW w:w="859" w:type="dxa"/>
            <w:vAlign w:val="center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27,27</w:t>
            </w:r>
          </w:p>
        </w:tc>
        <w:tc>
          <w:tcPr>
            <w:tcW w:w="859" w:type="dxa"/>
            <w:vAlign w:val="center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29,17</w:t>
            </w:r>
          </w:p>
        </w:tc>
        <w:tc>
          <w:tcPr>
            <w:tcW w:w="859" w:type="dxa"/>
            <w:vAlign w:val="center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31,25</w:t>
            </w:r>
          </w:p>
        </w:tc>
      </w:tr>
      <w:tr w:rsidR="00732609" w:rsidRPr="00724E4D" w:rsidTr="00724E4D">
        <w:tc>
          <w:tcPr>
            <w:tcW w:w="70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732609" w:rsidRPr="00724E4D" w:rsidRDefault="00732609" w:rsidP="0072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 xml:space="preserve">Темп роста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 </w:t>
            </w:r>
          </w:p>
        </w:tc>
        <w:tc>
          <w:tcPr>
            <w:tcW w:w="1243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90" w:type="dxa"/>
            <w:vAlign w:val="center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vAlign w:val="center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9" w:type="dxa"/>
            <w:vAlign w:val="center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9" w:type="dxa"/>
            <w:vAlign w:val="center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9" w:type="dxa"/>
            <w:vAlign w:val="center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9" w:type="dxa"/>
            <w:vAlign w:val="center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32609" w:rsidRPr="00724E4D" w:rsidTr="00724E4D">
        <w:tc>
          <w:tcPr>
            <w:tcW w:w="70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8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Обеспечение защиты прав потребителей на территории ЗАТО городской округ Молодежный в соответствии с полномочиями органов местного самоуправления, определенными действующим законодательством Российской Федерации</w:t>
            </w:r>
          </w:p>
        </w:tc>
        <w:tc>
          <w:tcPr>
            <w:tcW w:w="1439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34" w:type="dxa"/>
          </w:tcPr>
          <w:p w:rsidR="00732609" w:rsidRPr="00724E4D" w:rsidRDefault="00732609" w:rsidP="0072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Количество объектов инфраструктуры поддержки субъектов малого и среднего предпринимательства в области инноваций и производства</w:t>
            </w:r>
          </w:p>
        </w:tc>
        <w:tc>
          <w:tcPr>
            <w:tcW w:w="1243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690" w:type="dxa"/>
            <w:vAlign w:val="center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vAlign w:val="center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vAlign w:val="center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vAlign w:val="center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vAlign w:val="center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vAlign w:val="center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2609" w:rsidRPr="00724E4D" w:rsidTr="00724E4D">
        <w:tc>
          <w:tcPr>
            <w:tcW w:w="14786" w:type="dxa"/>
            <w:gridSpan w:val="12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E4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724E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24E4D">
              <w:rPr>
                <w:rFonts w:ascii="Times New Roman" w:hAnsi="Times New Roman"/>
                <w:b/>
                <w:sz w:val="24"/>
                <w:szCs w:val="24"/>
              </w:rPr>
              <w:t xml:space="preserve"> « Развитие потребительского рынка и услуг на территории ЗАТО городской округ Молодежный»</w:t>
            </w:r>
          </w:p>
        </w:tc>
      </w:tr>
      <w:tr w:rsidR="00732609" w:rsidRPr="00724E4D" w:rsidTr="00724E4D">
        <w:tc>
          <w:tcPr>
            <w:tcW w:w="704" w:type="dxa"/>
            <w:vMerge w:val="restart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84" w:type="dxa"/>
            <w:vMerge w:val="restart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Развитие инфраструктуры потребительского рынка и услуг</w:t>
            </w:r>
          </w:p>
        </w:tc>
        <w:tc>
          <w:tcPr>
            <w:tcW w:w="1439" w:type="dxa"/>
            <w:vMerge w:val="restart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vMerge w:val="restart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34" w:type="dxa"/>
          </w:tcPr>
          <w:p w:rsidR="00732609" w:rsidRPr="00724E4D" w:rsidRDefault="00732609" w:rsidP="0072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Прирост торговых площадей внебюджетных инвестиций</w:t>
            </w:r>
          </w:p>
        </w:tc>
        <w:tc>
          <w:tcPr>
            <w:tcW w:w="1243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 кв.м.</w:t>
            </w:r>
          </w:p>
        </w:tc>
        <w:tc>
          <w:tcPr>
            <w:tcW w:w="1690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8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732609" w:rsidRPr="00724E4D" w:rsidTr="00724E4D">
        <w:tc>
          <w:tcPr>
            <w:tcW w:w="70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732609" w:rsidRPr="00724E4D" w:rsidRDefault="00732609" w:rsidP="0072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2609" w:rsidRPr="00724E4D" w:rsidRDefault="00732609" w:rsidP="0072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 xml:space="preserve"> Обеспеченность населения услугами общественного питания  </w:t>
            </w:r>
          </w:p>
        </w:tc>
        <w:tc>
          <w:tcPr>
            <w:tcW w:w="1243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Пос.мест/на 1000 жителей</w:t>
            </w:r>
          </w:p>
        </w:tc>
        <w:tc>
          <w:tcPr>
            <w:tcW w:w="1690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8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3,5</w:t>
            </w: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3,5</w:t>
            </w:r>
          </w:p>
        </w:tc>
      </w:tr>
      <w:tr w:rsidR="00732609" w:rsidRPr="00724E4D" w:rsidTr="00724E4D">
        <w:tc>
          <w:tcPr>
            <w:tcW w:w="70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732609" w:rsidRPr="00724E4D" w:rsidRDefault="00732609" w:rsidP="0072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 xml:space="preserve">Обеспеченность населения бытовыми услугами  </w:t>
            </w:r>
          </w:p>
        </w:tc>
        <w:tc>
          <w:tcPr>
            <w:tcW w:w="1243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раб. мест/на 1000 жителей</w:t>
            </w:r>
          </w:p>
        </w:tc>
        <w:tc>
          <w:tcPr>
            <w:tcW w:w="1690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1,09</w:t>
            </w:r>
          </w:p>
        </w:tc>
        <w:tc>
          <w:tcPr>
            <w:tcW w:w="858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1,03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1,1</w:t>
            </w:r>
          </w:p>
        </w:tc>
      </w:tr>
      <w:tr w:rsidR="00732609" w:rsidRPr="00724E4D" w:rsidTr="00724E4D">
        <w:tc>
          <w:tcPr>
            <w:tcW w:w="70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732609" w:rsidRPr="00724E4D" w:rsidRDefault="00732609" w:rsidP="0072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Количество проводимых тематических ярмарок</w:t>
            </w:r>
          </w:p>
        </w:tc>
        <w:tc>
          <w:tcPr>
            <w:tcW w:w="1243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690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8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732609" w:rsidRPr="00724E4D" w:rsidTr="00724E4D">
        <w:tc>
          <w:tcPr>
            <w:tcW w:w="70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732609" w:rsidRPr="00724E4D" w:rsidRDefault="00732609" w:rsidP="0072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Количество организационных мест мобильной торговли «Корзинка»</w:t>
            </w:r>
          </w:p>
        </w:tc>
        <w:tc>
          <w:tcPr>
            <w:tcW w:w="1243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690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8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732609" w:rsidRPr="00724E4D" w:rsidTr="00724E4D">
        <w:tc>
          <w:tcPr>
            <w:tcW w:w="14786" w:type="dxa"/>
            <w:gridSpan w:val="12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E4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724E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24E4D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конкуренции в ЗАТО городской округ Молодежный»</w:t>
            </w:r>
          </w:p>
        </w:tc>
      </w:tr>
      <w:tr w:rsidR="00732609" w:rsidRPr="00724E4D" w:rsidTr="00724E4D">
        <w:tc>
          <w:tcPr>
            <w:tcW w:w="704" w:type="dxa"/>
            <w:vMerge w:val="restart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84" w:type="dxa"/>
            <w:vMerge w:val="restart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Развитие сферы муниципальных закупок</w:t>
            </w:r>
          </w:p>
        </w:tc>
        <w:tc>
          <w:tcPr>
            <w:tcW w:w="1439" w:type="dxa"/>
            <w:vMerge w:val="restart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vMerge w:val="restart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34" w:type="dxa"/>
          </w:tcPr>
          <w:p w:rsidR="00732609" w:rsidRPr="00724E4D" w:rsidRDefault="00732609" w:rsidP="0072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Доля обоснованных, частично обоснованных жалоб в Федеральную антимонопольную службу (ФАС России) (от общего количества проведенных процедур)</w:t>
            </w:r>
          </w:p>
        </w:tc>
        <w:tc>
          <w:tcPr>
            <w:tcW w:w="1243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90" w:type="dxa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858" w:type="dxa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609" w:rsidRPr="00724E4D" w:rsidRDefault="00732609" w:rsidP="00724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732609" w:rsidRPr="00724E4D" w:rsidTr="00724E4D">
        <w:tc>
          <w:tcPr>
            <w:tcW w:w="70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732609" w:rsidRPr="00724E4D" w:rsidRDefault="00732609" w:rsidP="003F40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Доля экономии бюджетных денежных средств в результате проведения торгов от общей суммы объявленных торгов (за исключением несостоявшихся торгов)</w:t>
            </w:r>
          </w:p>
        </w:tc>
        <w:tc>
          <w:tcPr>
            <w:tcW w:w="1243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90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858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</w:tr>
      <w:tr w:rsidR="00732609" w:rsidRPr="00724E4D" w:rsidTr="00724E4D">
        <w:tc>
          <w:tcPr>
            <w:tcW w:w="70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732609" w:rsidRPr="00724E4D" w:rsidRDefault="00732609" w:rsidP="003F40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несостоявшихся торгов, на которые не было подано заявок, либо заявки были отклонены, либо подана одна заявка (от общего количества процедур)</w:t>
            </w:r>
          </w:p>
        </w:tc>
        <w:tc>
          <w:tcPr>
            <w:tcW w:w="1243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90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8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</w:tr>
      <w:tr w:rsidR="00732609" w:rsidRPr="00724E4D" w:rsidTr="00724E4D">
        <w:tc>
          <w:tcPr>
            <w:tcW w:w="70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732609" w:rsidRPr="00724E4D" w:rsidRDefault="00732609" w:rsidP="003F40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количества участников размещения заказа</w:t>
            </w:r>
          </w:p>
        </w:tc>
        <w:tc>
          <w:tcPr>
            <w:tcW w:w="1243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участников одной процедуре</w:t>
            </w: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858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4,7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732609" w:rsidRPr="00724E4D" w:rsidTr="00724E4D">
        <w:tc>
          <w:tcPr>
            <w:tcW w:w="70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732609" w:rsidRPr="00724E4D" w:rsidRDefault="00732609" w:rsidP="003F40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реализованных требований стандарта развития конкуренции в Московской области</w:t>
            </w:r>
          </w:p>
        </w:tc>
        <w:tc>
          <w:tcPr>
            <w:tcW w:w="1243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90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8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9" w:type="dxa"/>
          </w:tcPr>
          <w:p w:rsidR="00732609" w:rsidRPr="00724E4D" w:rsidRDefault="00732609" w:rsidP="0072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</w:tbl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7211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A686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ПЕРЕЧНЬ МЕРОПРИЯТИЙ </w:t>
      </w:r>
    </w:p>
    <w:p w:rsidR="00732609" w:rsidRDefault="00732609" w:rsidP="007211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A686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«ПРЕДПРИНИМАТЕЛЬСТВО В </w:t>
      </w:r>
      <w:r w:rsidRPr="000A6864">
        <w:rPr>
          <w:rFonts w:ascii="Times New Roman" w:hAnsi="Times New Roman" w:cs="Times New Roman"/>
          <w:b/>
          <w:sz w:val="24"/>
          <w:szCs w:val="24"/>
          <w:lang w:eastAsia="en-US"/>
        </w:rPr>
        <w:t>ЗАТО ГОРОДСКОЙ ОКРУГ МОЛОДЕЖНЫЙ МОСКОВСКОЙ ОБЛАСТИ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НА 2014-2018 г.г.»</w:t>
      </w: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0"/>
        <w:gridCol w:w="2144"/>
        <w:gridCol w:w="1324"/>
        <w:gridCol w:w="1666"/>
        <w:gridCol w:w="1641"/>
        <w:gridCol w:w="712"/>
        <w:gridCol w:w="620"/>
        <w:gridCol w:w="616"/>
        <w:gridCol w:w="625"/>
        <w:gridCol w:w="625"/>
        <w:gridCol w:w="625"/>
        <w:gridCol w:w="1604"/>
        <w:gridCol w:w="1904"/>
      </w:tblGrid>
      <w:tr w:rsidR="00732609" w:rsidRPr="00724E4D" w:rsidTr="00724E4D">
        <w:tc>
          <w:tcPr>
            <w:tcW w:w="680" w:type="dxa"/>
            <w:vMerge w:val="restart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2144" w:type="dxa"/>
            <w:vMerge w:val="restart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  <w:lang w:eastAsia="en-US"/>
              </w:rPr>
              <w:t>Мероприятия по реализации программы</w:t>
            </w:r>
          </w:p>
        </w:tc>
        <w:tc>
          <w:tcPr>
            <w:tcW w:w="1324" w:type="dxa"/>
            <w:vMerge w:val="restart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Срок         </w:t>
            </w:r>
            <w:r w:rsidRPr="00724E4D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исполнения мероприятия</w:t>
            </w:r>
          </w:p>
        </w:tc>
        <w:tc>
          <w:tcPr>
            <w:tcW w:w="1666" w:type="dxa"/>
            <w:vMerge w:val="restart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641" w:type="dxa"/>
            <w:vMerge w:val="restart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  <w:lang w:eastAsia="en-US"/>
              </w:rPr>
              <w:t>Объем финансирования мероприятия в текущем финансовом году (тыс.руб.)</w:t>
            </w:r>
          </w:p>
        </w:tc>
        <w:tc>
          <w:tcPr>
            <w:tcW w:w="712" w:type="dxa"/>
            <w:vMerge w:val="restart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  <w:lang w:eastAsia="en-US"/>
              </w:rPr>
              <w:t>Всего (тыс. руб.)</w:t>
            </w:r>
          </w:p>
        </w:tc>
        <w:tc>
          <w:tcPr>
            <w:tcW w:w="3111" w:type="dxa"/>
            <w:gridSpan w:val="5"/>
          </w:tcPr>
          <w:p w:rsidR="00732609" w:rsidRPr="00724E4D" w:rsidRDefault="00732609" w:rsidP="00724E4D">
            <w:pPr>
              <w:pStyle w:val="ConsPlusNormal"/>
              <w:widowControl/>
              <w:tabs>
                <w:tab w:val="left" w:pos="12474"/>
              </w:tabs>
              <w:ind w:left="16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финансирования по годам</w:t>
            </w:r>
          </w:p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       (тыс. руб.)</w:t>
            </w:r>
          </w:p>
        </w:tc>
        <w:tc>
          <w:tcPr>
            <w:tcW w:w="1604" w:type="dxa"/>
            <w:vMerge w:val="restart"/>
          </w:tcPr>
          <w:p w:rsidR="00732609" w:rsidRPr="00724E4D" w:rsidRDefault="00732609" w:rsidP="00724E4D">
            <w:pPr>
              <w:pStyle w:val="ConsPlusNormal"/>
              <w:widowControl/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за выполнение мероприятий </w:t>
            </w:r>
          </w:p>
        </w:tc>
        <w:tc>
          <w:tcPr>
            <w:tcW w:w="1904" w:type="dxa"/>
            <w:vMerge w:val="restart"/>
          </w:tcPr>
          <w:p w:rsidR="00732609" w:rsidRPr="00724E4D" w:rsidRDefault="00732609" w:rsidP="00724E4D">
            <w:pPr>
              <w:pStyle w:val="ConsPlusNormal"/>
              <w:widowControl/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Результаты выполнения мероприятий</w:t>
            </w:r>
          </w:p>
        </w:tc>
      </w:tr>
      <w:tr w:rsidR="00732609" w:rsidRPr="00724E4D" w:rsidTr="00724E4D">
        <w:tc>
          <w:tcPr>
            <w:tcW w:w="680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616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625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625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625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0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609" w:rsidRPr="00724E4D" w:rsidTr="00724E4D">
        <w:tc>
          <w:tcPr>
            <w:tcW w:w="14786" w:type="dxa"/>
            <w:gridSpan w:val="13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724E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24E4D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малого и среднего предпринимательства в ЗАТО городской округ Молодежный»</w:t>
            </w:r>
          </w:p>
        </w:tc>
      </w:tr>
      <w:tr w:rsidR="00732609" w:rsidRPr="00724E4D" w:rsidTr="00724E4D">
        <w:tc>
          <w:tcPr>
            <w:tcW w:w="680" w:type="dxa"/>
            <w:vMerge w:val="restart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44" w:type="dxa"/>
            <w:vMerge w:val="restart"/>
          </w:tcPr>
          <w:p w:rsidR="00732609" w:rsidRPr="00724E4D" w:rsidRDefault="00732609" w:rsidP="0072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 xml:space="preserve">Задача 1. Увеличение вклада субъектов малого и среднего предпринимательства в экономику Московской области </w:t>
            </w:r>
          </w:p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2014-2018 гг.</w:t>
            </w:r>
          </w:p>
        </w:tc>
        <w:tc>
          <w:tcPr>
            <w:tcW w:w="1666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2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0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6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4" w:type="dxa"/>
            <w:vMerge w:val="restart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ЗАТО городской округ Молодежный Московской области</w:t>
            </w:r>
          </w:p>
        </w:tc>
        <w:tc>
          <w:tcPr>
            <w:tcW w:w="1904" w:type="dxa"/>
            <w:vMerge w:val="restart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609" w:rsidRPr="00724E4D" w:rsidTr="00724E4D">
        <w:tc>
          <w:tcPr>
            <w:tcW w:w="680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Средства бюджета ЗАТО городской округ Молодежный</w:t>
            </w:r>
          </w:p>
        </w:tc>
        <w:tc>
          <w:tcPr>
            <w:tcW w:w="1641" w:type="dxa"/>
            <w:vAlign w:val="center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0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6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609" w:rsidRPr="00724E4D" w:rsidTr="00724E4D">
        <w:tc>
          <w:tcPr>
            <w:tcW w:w="680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14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Мероприятие 1. Частичная компенсация субъектам малого и среднего предпринимательства затрат на уплату первого взноса (аванса) при заключении договора лизинга оборудования</w:t>
            </w:r>
          </w:p>
        </w:tc>
        <w:tc>
          <w:tcPr>
            <w:tcW w:w="132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2014-2018 гг.</w:t>
            </w:r>
          </w:p>
        </w:tc>
        <w:tc>
          <w:tcPr>
            <w:tcW w:w="1666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641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0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ЗАТО городской округ Молодежный Московской области</w:t>
            </w:r>
          </w:p>
        </w:tc>
        <w:tc>
          <w:tcPr>
            <w:tcW w:w="190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Увеличение малых и средних предприятий (включая микро) в общем обороте по полному кругу предприятий городского округа на 100% к 2018 г.</w:t>
            </w:r>
          </w:p>
        </w:tc>
      </w:tr>
      <w:tr w:rsidR="00732609" w:rsidRPr="00724E4D" w:rsidTr="00724E4D">
        <w:tc>
          <w:tcPr>
            <w:tcW w:w="680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14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  <w:lang w:eastAsia="en-US"/>
              </w:rPr>
              <w:t>Мероприятие 2. Осуществление и развитие консультационной поддержки субъектов малого и среднего предпринимательства ЗАТО городской округ Молодежный Московской области. Оказание информационно-консультационных услуг для субъектов малого и среднего предпринимательства</w:t>
            </w:r>
          </w:p>
        </w:tc>
        <w:tc>
          <w:tcPr>
            <w:tcW w:w="132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2014-2018 гг.</w:t>
            </w:r>
          </w:p>
        </w:tc>
        <w:tc>
          <w:tcPr>
            <w:tcW w:w="1666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Средства бюджета ЗАТО городской округ Молодежный</w:t>
            </w:r>
          </w:p>
        </w:tc>
        <w:tc>
          <w:tcPr>
            <w:tcW w:w="1641" w:type="dxa"/>
            <w:vAlign w:val="center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0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6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4" w:type="dxa"/>
          </w:tcPr>
          <w:p w:rsidR="00732609" w:rsidRPr="00724E4D" w:rsidRDefault="00732609" w:rsidP="003F40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ЗАТО городской округ Молодежный Московской области</w:t>
            </w:r>
          </w:p>
        </w:tc>
        <w:tc>
          <w:tcPr>
            <w:tcW w:w="1904" w:type="dxa"/>
          </w:tcPr>
          <w:p w:rsidR="00732609" w:rsidRPr="00724E4D" w:rsidRDefault="00732609" w:rsidP="0072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Увеличение количества малых и средних предприятий (включая микропредприятия) в ЗАТО городской округ Молодежный на 100 жителей к 2018г. на 1,9 ед.</w:t>
            </w:r>
          </w:p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609" w:rsidRPr="00724E4D" w:rsidTr="00724E4D">
        <w:tc>
          <w:tcPr>
            <w:tcW w:w="680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14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  <w:lang w:eastAsia="en-US"/>
              </w:rPr>
              <w:t>Мероприятие 3. Подготовка предложений по совершенствованию нормативной правовой базы развития малого и среднего предпринимательства ЗАТО городской округ Молодежный. Привлечение к участию в разработке нормативных правовых актов, касающихся развития предпринимательства, представителей малого и среднего бизнеса</w:t>
            </w:r>
          </w:p>
        </w:tc>
        <w:tc>
          <w:tcPr>
            <w:tcW w:w="132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2014-2018 гг.</w:t>
            </w:r>
          </w:p>
        </w:tc>
        <w:tc>
          <w:tcPr>
            <w:tcW w:w="1666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641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0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4" w:type="dxa"/>
          </w:tcPr>
          <w:p w:rsidR="00732609" w:rsidRPr="00724E4D" w:rsidRDefault="00732609" w:rsidP="008F0D2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ЗАТО городской округ Молодежный Московской области</w:t>
            </w:r>
          </w:p>
        </w:tc>
        <w:tc>
          <w:tcPr>
            <w:tcW w:w="190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 xml:space="preserve">Проведение мониторинга предприятий сферы потребительского рынка по соблюдению Закона о защите прав потребителей будет составлять 20% всех предприятий потребительского рынка ежегодно </w:t>
            </w:r>
          </w:p>
        </w:tc>
      </w:tr>
      <w:tr w:rsidR="00732609" w:rsidRPr="00724E4D" w:rsidTr="00724E4D">
        <w:tc>
          <w:tcPr>
            <w:tcW w:w="680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14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Мероприятие 4. Контроль выполнения мероприятий городского трехстороннего (территориального) соглашения между администрацией ЗАТО городского округа Молодежный Московской области</w:t>
            </w:r>
          </w:p>
        </w:tc>
        <w:tc>
          <w:tcPr>
            <w:tcW w:w="132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2014-2018 гг.</w:t>
            </w:r>
          </w:p>
        </w:tc>
        <w:tc>
          <w:tcPr>
            <w:tcW w:w="1666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641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0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4" w:type="dxa"/>
          </w:tcPr>
          <w:p w:rsidR="00732609" w:rsidRPr="00724E4D" w:rsidRDefault="00732609" w:rsidP="008F0D2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ЗАТО городской округ Молодежный Московской области</w:t>
            </w:r>
          </w:p>
        </w:tc>
        <w:tc>
          <w:tcPr>
            <w:tcW w:w="190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Заключить трех сторонний договор о совместном использовании кладбища</w:t>
            </w:r>
          </w:p>
        </w:tc>
      </w:tr>
      <w:tr w:rsidR="00732609" w:rsidRPr="00724E4D" w:rsidTr="00724E4D">
        <w:tc>
          <w:tcPr>
            <w:tcW w:w="680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14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Мероприятие 5. Размещение на официальном сайте органов местного самоуправления ЗАТО городского округа Молодежный Московской области информации для малого и среднего предпринимательства</w:t>
            </w:r>
          </w:p>
        </w:tc>
        <w:tc>
          <w:tcPr>
            <w:tcW w:w="132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2014-2018 гг.</w:t>
            </w:r>
          </w:p>
        </w:tc>
        <w:tc>
          <w:tcPr>
            <w:tcW w:w="1666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641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0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4" w:type="dxa"/>
          </w:tcPr>
          <w:p w:rsidR="00732609" w:rsidRPr="00724E4D" w:rsidRDefault="00732609" w:rsidP="008F0D2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ЗАТО городской округ Молодежный Московской области</w:t>
            </w:r>
          </w:p>
        </w:tc>
        <w:tc>
          <w:tcPr>
            <w:tcW w:w="190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Периодичность информирования населения через интернет сайт и СМИ по вопросам защиты прав потребителей за весь период реализации подпрограммы составит 4 единицы</w:t>
            </w:r>
          </w:p>
        </w:tc>
      </w:tr>
      <w:tr w:rsidR="00732609" w:rsidRPr="00724E4D" w:rsidTr="00724E4D">
        <w:tc>
          <w:tcPr>
            <w:tcW w:w="14786" w:type="dxa"/>
            <w:gridSpan w:val="13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724E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24E4D">
              <w:rPr>
                <w:rFonts w:ascii="Times New Roman" w:hAnsi="Times New Roman"/>
                <w:b/>
                <w:sz w:val="24"/>
                <w:szCs w:val="24"/>
              </w:rPr>
              <w:t>. Развитие потребительского рынка и услуг  на территории ЗАТО городской округ Молодежный</w:t>
            </w:r>
          </w:p>
        </w:tc>
      </w:tr>
      <w:tr w:rsidR="00732609" w:rsidRPr="00724E4D" w:rsidTr="00724E4D">
        <w:tc>
          <w:tcPr>
            <w:tcW w:w="680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4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Задача 1. Развитие инфраструктуры потребительского рынка и услуг</w:t>
            </w:r>
          </w:p>
        </w:tc>
        <w:tc>
          <w:tcPr>
            <w:tcW w:w="132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2014-2018 гг.</w:t>
            </w:r>
          </w:p>
        </w:tc>
        <w:tc>
          <w:tcPr>
            <w:tcW w:w="1666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641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0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4" w:type="dxa"/>
          </w:tcPr>
          <w:p w:rsidR="00732609" w:rsidRPr="00724E4D" w:rsidRDefault="00732609" w:rsidP="008F0D2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ЗАТО городской округ Молодежный Московской области</w:t>
            </w:r>
          </w:p>
        </w:tc>
        <w:tc>
          <w:tcPr>
            <w:tcW w:w="190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609" w:rsidRPr="00724E4D" w:rsidTr="00724E4D">
        <w:tc>
          <w:tcPr>
            <w:tcW w:w="680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14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 xml:space="preserve">Мероприятие 1. </w:t>
            </w:r>
            <w:r w:rsidRPr="00724E4D">
              <w:rPr>
                <w:rFonts w:ascii="Times New Roman" w:hAnsi="Times New Roman"/>
                <w:sz w:val="20"/>
                <w:szCs w:val="20"/>
                <w:lang w:eastAsia="en-US"/>
              </w:rPr>
              <w:t>Анализ ситуации в ЗАТО городской округ Молодежный Московской области обеспечения населения (торговой) площадью торговых объектов в целях доведения до установленных норм по Московской области</w:t>
            </w:r>
          </w:p>
        </w:tc>
        <w:tc>
          <w:tcPr>
            <w:tcW w:w="132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2014-2018 гг.</w:t>
            </w:r>
          </w:p>
        </w:tc>
        <w:tc>
          <w:tcPr>
            <w:tcW w:w="1666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641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0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4" w:type="dxa"/>
          </w:tcPr>
          <w:p w:rsidR="00732609" w:rsidRPr="00724E4D" w:rsidRDefault="00732609" w:rsidP="008F0D2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ЗАТО городской округ Молодежный Московской области</w:t>
            </w:r>
          </w:p>
        </w:tc>
        <w:tc>
          <w:tcPr>
            <w:tcW w:w="190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Обеспеченность населения площадью торговых объектов достигнет 631,7кв.м. на 1000 жителей по итогам реализации подпрограммы;</w:t>
            </w:r>
          </w:p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Площадь торговых объектов предприятий розничной торговли к 2018 году составит 1993 кв.м.</w:t>
            </w:r>
          </w:p>
        </w:tc>
      </w:tr>
      <w:tr w:rsidR="00732609" w:rsidRPr="00724E4D" w:rsidTr="00724E4D">
        <w:tc>
          <w:tcPr>
            <w:tcW w:w="680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14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 xml:space="preserve">Мероприятие 2. </w:t>
            </w:r>
            <w:r w:rsidRPr="00724E4D">
              <w:rPr>
                <w:rFonts w:ascii="Times New Roman" w:hAnsi="Times New Roman"/>
                <w:sz w:val="20"/>
                <w:szCs w:val="20"/>
                <w:lang w:eastAsia="en-US"/>
              </w:rPr>
              <w:t>Анализ ситуации в ЗАТО городском округе Молодежный Московской области обеспечения населения услугами общественного питания  в целях доведения до установленных норм по Московской области</w:t>
            </w:r>
          </w:p>
        </w:tc>
        <w:tc>
          <w:tcPr>
            <w:tcW w:w="132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2014-2018 гг.</w:t>
            </w:r>
          </w:p>
        </w:tc>
        <w:tc>
          <w:tcPr>
            <w:tcW w:w="1666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641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0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4" w:type="dxa"/>
          </w:tcPr>
          <w:p w:rsidR="00732609" w:rsidRPr="00724E4D" w:rsidRDefault="00732609" w:rsidP="008F0D2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ЗАТО городской округ Молодежный Московской области</w:t>
            </w:r>
          </w:p>
        </w:tc>
        <w:tc>
          <w:tcPr>
            <w:tcW w:w="190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Обеспеченность населения услугами общественного питания достигнет 3,5  пос.мест на 1000 жителей по итогам реализации подпрограммы</w:t>
            </w:r>
          </w:p>
        </w:tc>
      </w:tr>
      <w:tr w:rsidR="00732609" w:rsidRPr="00724E4D" w:rsidTr="00724E4D">
        <w:tc>
          <w:tcPr>
            <w:tcW w:w="680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14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 xml:space="preserve">Мероприятие 3. </w:t>
            </w:r>
            <w:r w:rsidRPr="00724E4D">
              <w:rPr>
                <w:rFonts w:ascii="Times New Roman" w:hAnsi="Times New Roman"/>
                <w:sz w:val="20"/>
                <w:szCs w:val="20"/>
                <w:lang w:eastAsia="en-US"/>
              </w:rPr>
              <w:t>Анализ ситуации в ЗАТО городском округе Молодежный Московской области обеспечения населения бытовыми услугами  в целях доведения до установленных норм по Московской области</w:t>
            </w:r>
          </w:p>
        </w:tc>
        <w:tc>
          <w:tcPr>
            <w:tcW w:w="132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2014-2018 гг.</w:t>
            </w:r>
          </w:p>
        </w:tc>
        <w:tc>
          <w:tcPr>
            <w:tcW w:w="1666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641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0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4" w:type="dxa"/>
          </w:tcPr>
          <w:p w:rsidR="00732609" w:rsidRPr="00724E4D" w:rsidRDefault="00732609" w:rsidP="008F0D2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ЗАТО городской округ Молодежный Московской области</w:t>
            </w:r>
          </w:p>
        </w:tc>
        <w:tc>
          <w:tcPr>
            <w:tcW w:w="190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Обеспеченность населения бытовыми услугами достигнет 0,95 рабочих мест на 1000 жителей по итогам реализации подпрограммы</w:t>
            </w:r>
          </w:p>
        </w:tc>
      </w:tr>
      <w:tr w:rsidR="00732609" w:rsidRPr="00724E4D" w:rsidTr="00724E4D">
        <w:tc>
          <w:tcPr>
            <w:tcW w:w="680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14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Мероприятие 4. Анализ  проводимых тематических ярмарок на территории ЗАТО городской  округ Молодежный с целью доведения до установленных норм на территории Московской области   </w:t>
            </w:r>
          </w:p>
        </w:tc>
        <w:tc>
          <w:tcPr>
            <w:tcW w:w="132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2014-2018 гг.</w:t>
            </w:r>
          </w:p>
        </w:tc>
        <w:tc>
          <w:tcPr>
            <w:tcW w:w="1666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641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0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4" w:type="dxa"/>
          </w:tcPr>
          <w:p w:rsidR="00732609" w:rsidRPr="00724E4D" w:rsidRDefault="00732609" w:rsidP="008F0D2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ЗАТО городской округ Молодежный Московской области</w:t>
            </w:r>
          </w:p>
        </w:tc>
        <w:tc>
          <w:tcPr>
            <w:tcW w:w="190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Количество проведенных ярмарок за весь период реализации подпрограммы составит 19 единиц</w:t>
            </w:r>
          </w:p>
        </w:tc>
      </w:tr>
      <w:tr w:rsidR="00732609" w:rsidRPr="00724E4D" w:rsidTr="00724E4D">
        <w:tc>
          <w:tcPr>
            <w:tcW w:w="680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14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Создание социальной торговой сети мобильной торговли «Корзинка»</w:t>
            </w:r>
          </w:p>
        </w:tc>
        <w:tc>
          <w:tcPr>
            <w:tcW w:w="132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2016-2018 гг.</w:t>
            </w:r>
          </w:p>
        </w:tc>
        <w:tc>
          <w:tcPr>
            <w:tcW w:w="1666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641" w:type="dxa"/>
            <w:vAlign w:val="center"/>
          </w:tcPr>
          <w:p w:rsidR="00732609" w:rsidRPr="00724E4D" w:rsidRDefault="00732609" w:rsidP="00724E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dxa"/>
            <w:vAlign w:val="center"/>
          </w:tcPr>
          <w:p w:rsidR="00732609" w:rsidRPr="00724E4D" w:rsidRDefault="00732609" w:rsidP="00724E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0" w:type="dxa"/>
            <w:vAlign w:val="center"/>
          </w:tcPr>
          <w:p w:rsidR="00732609" w:rsidRPr="00724E4D" w:rsidRDefault="00732609" w:rsidP="00724E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vAlign w:val="center"/>
          </w:tcPr>
          <w:p w:rsidR="00732609" w:rsidRPr="00724E4D" w:rsidRDefault="00732609" w:rsidP="00724E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4" w:type="dxa"/>
          </w:tcPr>
          <w:p w:rsidR="00732609" w:rsidRPr="00724E4D" w:rsidRDefault="00732609" w:rsidP="00724E4D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ЗАТО городской округ Молодежный Московской области</w:t>
            </w:r>
          </w:p>
        </w:tc>
        <w:tc>
          <w:tcPr>
            <w:tcW w:w="1904" w:type="dxa"/>
          </w:tcPr>
          <w:p w:rsidR="00732609" w:rsidRPr="00724E4D" w:rsidRDefault="00732609" w:rsidP="0072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Увеличение количества организационных мест мобильной торговли «Корзинка»</w:t>
            </w:r>
          </w:p>
        </w:tc>
      </w:tr>
      <w:tr w:rsidR="00732609" w:rsidRPr="00724E4D" w:rsidTr="00724E4D">
        <w:tc>
          <w:tcPr>
            <w:tcW w:w="680" w:type="dxa"/>
            <w:vMerge w:val="restart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44" w:type="dxa"/>
            <w:vMerge w:val="restart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Задача 2.</w:t>
            </w:r>
          </w:p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Развитие похоронного дела</w:t>
            </w:r>
          </w:p>
        </w:tc>
        <w:tc>
          <w:tcPr>
            <w:tcW w:w="1324" w:type="dxa"/>
            <w:vMerge w:val="restart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2016-2018 гг.</w:t>
            </w:r>
          </w:p>
        </w:tc>
        <w:tc>
          <w:tcPr>
            <w:tcW w:w="1666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vAlign w:val="center"/>
          </w:tcPr>
          <w:p w:rsidR="00732609" w:rsidRPr="00724E4D" w:rsidRDefault="00732609" w:rsidP="00724E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dxa"/>
            <w:vAlign w:val="center"/>
          </w:tcPr>
          <w:p w:rsidR="00732609" w:rsidRPr="00724E4D" w:rsidRDefault="00732609" w:rsidP="00724E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620" w:type="dxa"/>
            <w:vAlign w:val="center"/>
          </w:tcPr>
          <w:p w:rsidR="00732609" w:rsidRPr="00724E4D" w:rsidRDefault="00732609" w:rsidP="00724E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vAlign w:val="center"/>
          </w:tcPr>
          <w:p w:rsidR="00732609" w:rsidRPr="00724E4D" w:rsidRDefault="00732609" w:rsidP="00724E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604" w:type="dxa"/>
            <w:vMerge w:val="restart"/>
          </w:tcPr>
          <w:p w:rsidR="00732609" w:rsidRPr="00724E4D" w:rsidRDefault="00732609" w:rsidP="008F0D2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ЗАТО городской округ Молодежный Московской области</w:t>
            </w:r>
          </w:p>
        </w:tc>
        <w:tc>
          <w:tcPr>
            <w:tcW w:w="1904" w:type="dxa"/>
            <w:vMerge w:val="restart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Заключить трех сторонний договор о совместном использовании кладбища</w:t>
            </w:r>
          </w:p>
        </w:tc>
      </w:tr>
      <w:tr w:rsidR="00732609" w:rsidRPr="00724E4D" w:rsidTr="00724E4D">
        <w:tc>
          <w:tcPr>
            <w:tcW w:w="680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Средства бюджета ЗАТО городской округ Молодежный</w:t>
            </w:r>
          </w:p>
        </w:tc>
        <w:tc>
          <w:tcPr>
            <w:tcW w:w="1641" w:type="dxa"/>
            <w:vAlign w:val="center"/>
          </w:tcPr>
          <w:p w:rsidR="00732609" w:rsidRPr="00724E4D" w:rsidRDefault="00732609" w:rsidP="00724E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dxa"/>
            <w:vAlign w:val="center"/>
          </w:tcPr>
          <w:p w:rsidR="00732609" w:rsidRPr="00724E4D" w:rsidRDefault="00732609" w:rsidP="00724E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620" w:type="dxa"/>
            <w:vAlign w:val="center"/>
          </w:tcPr>
          <w:p w:rsidR="00732609" w:rsidRPr="00724E4D" w:rsidRDefault="00732609" w:rsidP="00724E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vAlign w:val="center"/>
          </w:tcPr>
          <w:p w:rsidR="00732609" w:rsidRPr="00724E4D" w:rsidRDefault="00732609" w:rsidP="00724E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604" w:type="dxa"/>
            <w:vMerge/>
          </w:tcPr>
          <w:p w:rsidR="00732609" w:rsidRPr="00724E4D" w:rsidRDefault="00732609" w:rsidP="008F0D2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609" w:rsidRPr="00724E4D" w:rsidTr="00724E4D">
        <w:tc>
          <w:tcPr>
            <w:tcW w:w="680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144" w:type="dxa"/>
          </w:tcPr>
          <w:p w:rsidR="00732609" w:rsidRPr="00724E4D" w:rsidRDefault="00732609" w:rsidP="0072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Мероприятие 1. Транспортировка в морг с мест обнаружения или происшествия умерших для производства судебно-медицинской экспертизы и патолого-анатомического вскрытия, на одну транспортировку</w:t>
            </w:r>
          </w:p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2016-2018 гг.</w:t>
            </w:r>
          </w:p>
        </w:tc>
        <w:tc>
          <w:tcPr>
            <w:tcW w:w="1666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Средства бюджета ЗАТО городской округ Молодежный</w:t>
            </w:r>
          </w:p>
        </w:tc>
        <w:tc>
          <w:tcPr>
            <w:tcW w:w="1641" w:type="dxa"/>
            <w:vAlign w:val="center"/>
          </w:tcPr>
          <w:p w:rsidR="00732609" w:rsidRPr="00724E4D" w:rsidRDefault="00732609" w:rsidP="00724E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dxa"/>
            <w:vAlign w:val="center"/>
          </w:tcPr>
          <w:p w:rsidR="00732609" w:rsidRPr="00724E4D" w:rsidRDefault="00732609" w:rsidP="00724E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620" w:type="dxa"/>
            <w:vAlign w:val="center"/>
          </w:tcPr>
          <w:p w:rsidR="00732609" w:rsidRPr="00724E4D" w:rsidRDefault="00732609" w:rsidP="00724E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vAlign w:val="center"/>
          </w:tcPr>
          <w:p w:rsidR="00732609" w:rsidRPr="00724E4D" w:rsidRDefault="00732609" w:rsidP="00724E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604" w:type="dxa"/>
          </w:tcPr>
          <w:p w:rsidR="00732609" w:rsidRPr="00724E4D" w:rsidRDefault="00732609" w:rsidP="00724E4D">
            <w:pPr>
              <w:spacing w:after="0" w:line="240" w:lineRule="auto"/>
            </w:pPr>
            <w:r w:rsidRPr="00724E4D">
              <w:rPr>
                <w:rFonts w:ascii="Times New Roman" w:hAnsi="Times New Roman"/>
                <w:sz w:val="20"/>
                <w:szCs w:val="20"/>
              </w:rPr>
              <w:t>Администрация ЗАТО городской округ Молодежный Московской области</w:t>
            </w:r>
          </w:p>
        </w:tc>
        <w:tc>
          <w:tcPr>
            <w:tcW w:w="190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609" w:rsidRPr="00724E4D" w:rsidTr="00724E4D">
        <w:tc>
          <w:tcPr>
            <w:tcW w:w="14786" w:type="dxa"/>
            <w:gridSpan w:val="13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724E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24E4D">
              <w:rPr>
                <w:rFonts w:ascii="Times New Roman" w:hAnsi="Times New Roman"/>
                <w:b/>
                <w:sz w:val="24"/>
                <w:szCs w:val="24"/>
              </w:rPr>
              <w:t>. Развитие конкуренции в ЗАТО городской округ Молодежный</w:t>
            </w:r>
          </w:p>
        </w:tc>
      </w:tr>
      <w:tr w:rsidR="00732609" w:rsidRPr="00724E4D" w:rsidTr="00724E4D">
        <w:tc>
          <w:tcPr>
            <w:tcW w:w="680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4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Задача 1. Развитие сферы муниципальных закупок</w:t>
            </w:r>
          </w:p>
        </w:tc>
        <w:tc>
          <w:tcPr>
            <w:tcW w:w="132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2014-2018 гг.</w:t>
            </w:r>
          </w:p>
        </w:tc>
        <w:tc>
          <w:tcPr>
            <w:tcW w:w="1666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641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0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ЗАТО городской округ Молодежный Московской области</w:t>
            </w:r>
          </w:p>
        </w:tc>
        <w:tc>
          <w:tcPr>
            <w:tcW w:w="1904" w:type="dxa"/>
            <w:vMerge w:val="restart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Улучшение состояния конкурентной среды в микробизнесе, централизация закупок, увеличение доли торгов проведенные чрез открытые аукционы, привлечение потенциальных участников торгов, повышением информационной прозрачности деятельности органов государственной власти и местного самоуправления</w:t>
            </w:r>
          </w:p>
        </w:tc>
      </w:tr>
      <w:tr w:rsidR="00732609" w:rsidRPr="00724E4D" w:rsidTr="00724E4D">
        <w:tc>
          <w:tcPr>
            <w:tcW w:w="680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14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Мероприятие 1. Определение Уполномоченного органа по развитию конкуренции в ЗАТО городской округ Молодежный</w:t>
            </w:r>
          </w:p>
        </w:tc>
        <w:tc>
          <w:tcPr>
            <w:tcW w:w="132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2014-2018 гг.</w:t>
            </w:r>
          </w:p>
        </w:tc>
        <w:tc>
          <w:tcPr>
            <w:tcW w:w="1666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641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0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ЗАТО городской округ Молодежный Московской области</w:t>
            </w:r>
          </w:p>
        </w:tc>
        <w:tc>
          <w:tcPr>
            <w:tcW w:w="190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609" w:rsidRPr="00724E4D" w:rsidTr="00724E4D">
        <w:tc>
          <w:tcPr>
            <w:tcW w:w="680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144" w:type="dxa"/>
          </w:tcPr>
          <w:p w:rsidR="00732609" w:rsidRPr="00724E4D" w:rsidRDefault="00732609" w:rsidP="00724E4D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Мероприятие 2. Создание Рабочей группы по развитию конкуренции в ЗАТО городской округ Молодежный. В состав Рабочей группы должны входить:</w:t>
            </w:r>
          </w:p>
          <w:p w:rsidR="00732609" w:rsidRPr="00724E4D" w:rsidRDefault="00732609" w:rsidP="00724E4D">
            <w:pPr>
              <w:pStyle w:val="ListParagraph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 xml:space="preserve">- руководители или заместители руководителей Уполномоченного органа, </w:t>
            </w:r>
          </w:p>
          <w:p w:rsidR="00732609" w:rsidRPr="00724E4D" w:rsidRDefault="00732609" w:rsidP="00724E4D">
            <w:pPr>
              <w:pStyle w:val="ListParagraph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 xml:space="preserve">- представители общественных организаций, </w:t>
            </w:r>
          </w:p>
          <w:p w:rsidR="00732609" w:rsidRPr="00724E4D" w:rsidRDefault="00732609" w:rsidP="00724E4D">
            <w:pPr>
              <w:pStyle w:val="ListParagraph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 xml:space="preserve">- представители потребителей товаров и услуг, </w:t>
            </w:r>
          </w:p>
          <w:p w:rsidR="00732609" w:rsidRPr="00724E4D" w:rsidRDefault="00732609" w:rsidP="00724E4D">
            <w:pPr>
              <w:pStyle w:val="ListParagraph"/>
              <w:ind w:left="360"/>
              <w:jc w:val="both"/>
              <w:rPr>
                <w:rFonts w:ascii="Times New Roman" w:hAnsi="Times New Roman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- иные участники</w:t>
            </w:r>
            <w:r w:rsidRPr="00724E4D">
              <w:rPr>
                <w:rFonts w:ascii="Times New Roman" w:hAnsi="Times New Roman"/>
              </w:rPr>
              <w:t>.</w:t>
            </w:r>
          </w:p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2014-2018 гг.</w:t>
            </w:r>
          </w:p>
        </w:tc>
        <w:tc>
          <w:tcPr>
            <w:tcW w:w="1666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641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0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ЗАТО городской округ Молодежный Московской области</w:t>
            </w:r>
          </w:p>
        </w:tc>
        <w:tc>
          <w:tcPr>
            <w:tcW w:w="190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609" w:rsidRPr="00724E4D" w:rsidTr="00724E4D">
        <w:tc>
          <w:tcPr>
            <w:tcW w:w="680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144" w:type="dxa"/>
          </w:tcPr>
          <w:p w:rsidR="00732609" w:rsidRPr="00724E4D" w:rsidRDefault="00732609" w:rsidP="00724E4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Мероприятие 3. Утверждение перечня приоритетных и социально значимых рынков для развития конкуренции в ЗАТО городской округ Молодежный.</w:t>
            </w:r>
          </w:p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2014-2018 гг.</w:t>
            </w:r>
          </w:p>
        </w:tc>
        <w:tc>
          <w:tcPr>
            <w:tcW w:w="1666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641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0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ЗАТО городской округ Молодежный Московской области</w:t>
            </w:r>
          </w:p>
        </w:tc>
        <w:tc>
          <w:tcPr>
            <w:tcW w:w="190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609" w:rsidRPr="00724E4D" w:rsidTr="00724E4D">
        <w:tc>
          <w:tcPr>
            <w:tcW w:w="680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144" w:type="dxa"/>
          </w:tcPr>
          <w:p w:rsidR="00732609" w:rsidRPr="00724E4D" w:rsidRDefault="00732609" w:rsidP="00724E4D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Мероприятие 4. Разработка плана мероприятий («дорожной карты») по развитию конкуренции в ЗАТО городской округ Молодежный.</w:t>
            </w:r>
          </w:p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2014-2018 гг.</w:t>
            </w:r>
          </w:p>
        </w:tc>
        <w:tc>
          <w:tcPr>
            <w:tcW w:w="1666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641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0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ЗАТО городской округ Молодежный Московской области</w:t>
            </w:r>
          </w:p>
        </w:tc>
        <w:tc>
          <w:tcPr>
            <w:tcW w:w="190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609" w:rsidRPr="00724E4D" w:rsidTr="00724E4D">
        <w:tc>
          <w:tcPr>
            <w:tcW w:w="680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144" w:type="dxa"/>
          </w:tcPr>
          <w:p w:rsidR="00732609" w:rsidRPr="00724E4D" w:rsidRDefault="00732609" w:rsidP="00DC2AD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 xml:space="preserve">Мероприятие 5. </w:t>
            </w:r>
            <w:r w:rsidRPr="00724E4D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состояния и развития конкурентной среды на рынках товаров и услуг муниципального образования.</w:t>
            </w:r>
          </w:p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2014-2018 гг.</w:t>
            </w:r>
          </w:p>
        </w:tc>
        <w:tc>
          <w:tcPr>
            <w:tcW w:w="1666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641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0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ЗАТО городской округ Молодежный Московской области</w:t>
            </w:r>
          </w:p>
        </w:tc>
        <w:tc>
          <w:tcPr>
            <w:tcW w:w="190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609" w:rsidRPr="00724E4D" w:rsidTr="00724E4D">
        <w:tc>
          <w:tcPr>
            <w:tcW w:w="680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144" w:type="dxa"/>
          </w:tcPr>
          <w:p w:rsidR="00732609" w:rsidRPr="00724E4D" w:rsidRDefault="00732609" w:rsidP="00724E4D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Мероприятие 6. 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 в ЗАТО городской округ Молодежный.</w:t>
            </w:r>
          </w:p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2014-2018 гг.</w:t>
            </w:r>
          </w:p>
        </w:tc>
        <w:tc>
          <w:tcPr>
            <w:tcW w:w="1666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641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0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E4D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ЗАТО городской округ Молодежный Московской области</w:t>
            </w:r>
          </w:p>
        </w:tc>
        <w:tc>
          <w:tcPr>
            <w:tcW w:w="1904" w:type="dxa"/>
            <w:vMerge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609" w:rsidRPr="00724E4D" w:rsidTr="00724E4D">
        <w:tc>
          <w:tcPr>
            <w:tcW w:w="5814" w:type="dxa"/>
            <w:gridSpan w:val="4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E4D">
              <w:rPr>
                <w:rFonts w:ascii="Times New Roman" w:hAnsi="Times New Roman"/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1641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2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620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6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25" w:type="dxa"/>
            <w:vAlign w:val="center"/>
          </w:tcPr>
          <w:p w:rsidR="00732609" w:rsidRPr="00724E4D" w:rsidRDefault="00732609" w:rsidP="00724E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4E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60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</w:tcPr>
          <w:p w:rsidR="00732609" w:rsidRPr="00724E4D" w:rsidRDefault="00732609" w:rsidP="00724E4D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2609" w:rsidRDefault="00732609" w:rsidP="00E20B6A">
      <w:pPr>
        <w:tabs>
          <w:tab w:val="left" w:pos="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32609" w:rsidSect="00E20B6A">
      <w:pgSz w:w="16838" w:h="11906" w:orient="landscape" w:code="9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609" w:rsidRDefault="00732609" w:rsidP="00CE5390">
      <w:pPr>
        <w:spacing w:after="0" w:line="240" w:lineRule="auto"/>
      </w:pPr>
      <w:r>
        <w:separator/>
      </w:r>
    </w:p>
  </w:endnote>
  <w:endnote w:type="continuationSeparator" w:id="1">
    <w:p w:rsidR="00732609" w:rsidRDefault="00732609" w:rsidP="00CE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609" w:rsidRDefault="00732609" w:rsidP="00CE5390">
      <w:pPr>
        <w:spacing w:after="0" w:line="240" w:lineRule="auto"/>
      </w:pPr>
      <w:r>
        <w:separator/>
      </w:r>
    </w:p>
  </w:footnote>
  <w:footnote w:type="continuationSeparator" w:id="1">
    <w:p w:rsidR="00732609" w:rsidRDefault="00732609" w:rsidP="00CE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09" w:rsidRPr="008A4D2C" w:rsidRDefault="00732609" w:rsidP="003F40C3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84E"/>
    <w:rsid w:val="00026538"/>
    <w:rsid w:val="00055563"/>
    <w:rsid w:val="00067299"/>
    <w:rsid w:val="000A0390"/>
    <w:rsid w:val="000A6864"/>
    <w:rsid w:val="000F1FCC"/>
    <w:rsid w:val="00122C40"/>
    <w:rsid w:val="001355D4"/>
    <w:rsid w:val="00147F1F"/>
    <w:rsid w:val="00157CD9"/>
    <w:rsid w:val="00196563"/>
    <w:rsid w:val="001C2CF9"/>
    <w:rsid w:val="001F5350"/>
    <w:rsid w:val="00211D93"/>
    <w:rsid w:val="00211F73"/>
    <w:rsid w:val="00222DEF"/>
    <w:rsid w:val="002434AD"/>
    <w:rsid w:val="002545BF"/>
    <w:rsid w:val="002B1096"/>
    <w:rsid w:val="002D2CBB"/>
    <w:rsid w:val="002D714D"/>
    <w:rsid w:val="0031470E"/>
    <w:rsid w:val="003869BC"/>
    <w:rsid w:val="003F40C3"/>
    <w:rsid w:val="00406FD1"/>
    <w:rsid w:val="00407E7B"/>
    <w:rsid w:val="0042684E"/>
    <w:rsid w:val="004324B0"/>
    <w:rsid w:val="00480543"/>
    <w:rsid w:val="00523C2D"/>
    <w:rsid w:val="00542978"/>
    <w:rsid w:val="00555D33"/>
    <w:rsid w:val="005620AE"/>
    <w:rsid w:val="00573A48"/>
    <w:rsid w:val="00581C91"/>
    <w:rsid w:val="005A658C"/>
    <w:rsid w:val="005B1E64"/>
    <w:rsid w:val="005B650F"/>
    <w:rsid w:val="005C1B6C"/>
    <w:rsid w:val="005E50BF"/>
    <w:rsid w:val="006536B3"/>
    <w:rsid w:val="00676294"/>
    <w:rsid w:val="006862D8"/>
    <w:rsid w:val="006E3B7B"/>
    <w:rsid w:val="00721146"/>
    <w:rsid w:val="00724E4D"/>
    <w:rsid w:val="00732609"/>
    <w:rsid w:val="007334C9"/>
    <w:rsid w:val="007421A9"/>
    <w:rsid w:val="00771717"/>
    <w:rsid w:val="007C272B"/>
    <w:rsid w:val="00844A7C"/>
    <w:rsid w:val="008702A4"/>
    <w:rsid w:val="00876082"/>
    <w:rsid w:val="0088596F"/>
    <w:rsid w:val="008A04F4"/>
    <w:rsid w:val="008A4D2C"/>
    <w:rsid w:val="008B320E"/>
    <w:rsid w:val="008C0D1A"/>
    <w:rsid w:val="008F0D22"/>
    <w:rsid w:val="008F42D2"/>
    <w:rsid w:val="00941AD7"/>
    <w:rsid w:val="0095791B"/>
    <w:rsid w:val="00957CB1"/>
    <w:rsid w:val="009F0632"/>
    <w:rsid w:val="009F35E8"/>
    <w:rsid w:val="00A02F2A"/>
    <w:rsid w:val="00A16A25"/>
    <w:rsid w:val="00A47E6D"/>
    <w:rsid w:val="00A8491D"/>
    <w:rsid w:val="00AB25AE"/>
    <w:rsid w:val="00AD7A77"/>
    <w:rsid w:val="00AE2ECF"/>
    <w:rsid w:val="00B774BB"/>
    <w:rsid w:val="00BA655B"/>
    <w:rsid w:val="00BB42B4"/>
    <w:rsid w:val="00BF0BBF"/>
    <w:rsid w:val="00C350AC"/>
    <w:rsid w:val="00C37277"/>
    <w:rsid w:val="00CE5390"/>
    <w:rsid w:val="00CF36E4"/>
    <w:rsid w:val="00D35E08"/>
    <w:rsid w:val="00D96B36"/>
    <w:rsid w:val="00DC2AD0"/>
    <w:rsid w:val="00E20B6A"/>
    <w:rsid w:val="00E26925"/>
    <w:rsid w:val="00E54A5E"/>
    <w:rsid w:val="00EA7BFD"/>
    <w:rsid w:val="00EC04B1"/>
    <w:rsid w:val="00EE49AA"/>
    <w:rsid w:val="00EF2290"/>
    <w:rsid w:val="00F17276"/>
    <w:rsid w:val="00F40307"/>
    <w:rsid w:val="00F724D7"/>
    <w:rsid w:val="00F936EA"/>
    <w:rsid w:val="00FA67E5"/>
    <w:rsid w:val="00FE441F"/>
    <w:rsid w:val="00FF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9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684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5620A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620AE"/>
    <w:pPr>
      <w:widowControl w:val="0"/>
      <w:autoSpaceDE w:val="0"/>
      <w:autoSpaceDN w:val="0"/>
      <w:adjustRightInd w:val="0"/>
    </w:pPr>
    <w:rPr>
      <w:rFonts w:cs="Calibri"/>
    </w:rPr>
  </w:style>
  <w:style w:type="paragraph" w:styleId="Header">
    <w:name w:val="header"/>
    <w:basedOn w:val="Normal"/>
    <w:link w:val="HeaderChar"/>
    <w:uiPriority w:val="99"/>
    <w:rsid w:val="00C350AC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350AC"/>
    <w:rPr>
      <w:rFonts w:ascii="Calibri" w:eastAsia="Times New Roman" w:hAnsi="Calibri"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20B6A"/>
    <w:pPr>
      <w:spacing w:after="0" w:line="240" w:lineRule="auto"/>
      <w:ind w:firstLine="709"/>
      <w:jc w:val="center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20B6A"/>
    <w:rPr>
      <w:rFonts w:ascii="Times New Roman" w:hAnsi="Times New Roman" w:cs="Times New Roman"/>
      <w:sz w:val="20"/>
      <w:szCs w:val="20"/>
    </w:rPr>
  </w:style>
  <w:style w:type="paragraph" w:customStyle="1" w:styleId="a">
    <w:name w:val="Обычный (паспорт)"/>
    <w:basedOn w:val="Normal"/>
    <w:uiPriority w:val="99"/>
    <w:rsid w:val="00E20B6A"/>
    <w:pPr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F17276"/>
    <w:pPr>
      <w:widowControl w:val="0"/>
      <w:autoSpaceDE w:val="0"/>
      <w:autoSpaceDN w:val="0"/>
      <w:adjustRightInd w:val="0"/>
    </w:pPr>
    <w:rPr>
      <w:rFonts w:cs="Calibri"/>
    </w:rPr>
  </w:style>
  <w:style w:type="paragraph" w:styleId="ListParagraph">
    <w:name w:val="List Paragraph"/>
    <w:basedOn w:val="Normal"/>
    <w:uiPriority w:val="99"/>
    <w:qFormat/>
    <w:rsid w:val="00DC2AD0"/>
    <w:pPr>
      <w:spacing w:after="0" w:line="240" w:lineRule="auto"/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19</Pages>
  <Words>4528</Words>
  <Characters>25810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36</cp:revision>
  <cp:lastPrinted>2015-11-05T12:43:00Z</cp:lastPrinted>
  <dcterms:created xsi:type="dcterms:W3CDTF">2015-09-24T11:40:00Z</dcterms:created>
  <dcterms:modified xsi:type="dcterms:W3CDTF">2015-12-16T06:49:00Z</dcterms:modified>
</cp:coreProperties>
</file>