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4663DE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07.12</w:t>
      </w:r>
      <w:r w:rsidR="004B6BB2" w:rsidRPr="00A84548">
        <w:rPr>
          <w:sz w:val="24"/>
          <w:szCs w:val="24"/>
        </w:rPr>
        <w:t>.2023</w:t>
      </w:r>
      <w:r w:rsidR="00DE43C4" w:rsidRPr="00A84548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A84548">
        <w:rPr>
          <w:sz w:val="24"/>
          <w:szCs w:val="24"/>
        </w:rPr>
        <w:t xml:space="preserve">            </w:t>
      </w:r>
      <w:r w:rsidR="00A4417C" w:rsidRPr="00A84548">
        <w:rPr>
          <w:sz w:val="24"/>
          <w:szCs w:val="24"/>
        </w:rPr>
        <w:t xml:space="preserve">                            №</w:t>
      </w:r>
      <w:r w:rsidR="00A84548" w:rsidRPr="00A84548">
        <w:rPr>
          <w:sz w:val="24"/>
          <w:szCs w:val="24"/>
        </w:rPr>
        <w:t xml:space="preserve"> 2</w:t>
      </w:r>
      <w:r>
        <w:rPr>
          <w:sz w:val="24"/>
          <w:szCs w:val="24"/>
        </w:rPr>
        <w:t>92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</w:t>
      </w:r>
      <w:r w:rsidR="00F313D2">
        <w:rPr>
          <w:color w:val="auto"/>
          <w:sz w:val="24"/>
          <w:szCs w:val="24"/>
        </w:rPr>
        <w:t>, от 23.06</w:t>
      </w:r>
      <w:r w:rsidR="0045182E">
        <w:rPr>
          <w:color w:val="auto"/>
          <w:sz w:val="24"/>
          <w:szCs w:val="24"/>
        </w:rPr>
        <w:t>.2023 №168</w:t>
      </w:r>
      <w:r w:rsidR="00F313D2">
        <w:rPr>
          <w:color w:val="auto"/>
          <w:sz w:val="24"/>
          <w:szCs w:val="24"/>
        </w:rPr>
        <w:t>, от 09.08.2023 №200</w:t>
      </w:r>
      <w:r w:rsidR="004663DE">
        <w:rPr>
          <w:color w:val="auto"/>
          <w:sz w:val="24"/>
          <w:szCs w:val="24"/>
        </w:rPr>
        <w:t>, от 06.09.2023 №218</w:t>
      </w:r>
      <w:r w:rsidR="00397303" w:rsidRPr="00397303">
        <w:rPr>
          <w:color w:val="auto"/>
          <w:sz w:val="24"/>
          <w:szCs w:val="24"/>
        </w:rPr>
        <w:t>)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CC60A2" w:rsidRPr="00CC6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Опубликовать настоящее постановление в информационном вестнике «МОЛОДЁЖНЫЙ» и разместить на сайте www.молодёжный.рф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B3A35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</w:t>
            </w:r>
            <w:r w:rsidR="00DE43C4" w:rsidRPr="00A84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81653" w:rsidRPr="00A84548">
              <w:rPr>
                <w:sz w:val="24"/>
                <w:szCs w:val="24"/>
              </w:rPr>
              <w:t>.2023</w:t>
            </w:r>
            <w:r w:rsidR="00484370" w:rsidRPr="00A84548">
              <w:rPr>
                <w:sz w:val="24"/>
                <w:szCs w:val="24"/>
              </w:rPr>
              <w:t xml:space="preserve"> г. </w:t>
            </w:r>
            <w:r w:rsidR="00E81653" w:rsidRPr="00A84548">
              <w:rPr>
                <w:sz w:val="24"/>
                <w:szCs w:val="24"/>
              </w:rPr>
              <w:t>№</w:t>
            </w:r>
            <w:r w:rsidR="00A8454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92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13D2" w:rsidRPr="008E3ADD" w:rsidRDefault="00F313D2" w:rsidP="00F313D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F313D2" w:rsidRPr="00D36D55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F313D2" w:rsidRPr="00E81653" w:rsidTr="0081289A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F313D2" w:rsidRPr="00E81653" w:rsidTr="0081289A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AB3A35" w:rsidRPr="00E81653" w:rsidTr="0081289A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AB3A35" w:rsidRPr="00E81653" w:rsidRDefault="00AB3A35" w:rsidP="00AB3A35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97 992</w:t>
            </w:r>
            <w:r w:rsidRPr="00BD57FE">
              <w:rPr>
                <w:rFonts w:eastAsia="Calibri"/>
                <w:sz w:val="22"/>
              </w:rPr>
              <w:t>,45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44 683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53 271</w:t>
            </w:r>
            <w:r w:rsidRPr="00B55169">
              <w:rPr>
                <w:rFonts w:eastAsia="Calibri"/>
                <w:sz w:val="22"/>
              </w:rPr>
              <w:t>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  <w:tr w:rsidR="00AB3A35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A35" w:rsidRPr="00E81653" w:rsidRDefault="00AB3A35" w:rsidP="00AB3A35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6 733,81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3 090,91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3 642,90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AB3A35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A35" w:rsidRPr="00E81653" w:rsidRDefault="00AB3A35" w:rsidP="00AB3A35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AB3A35" w:rsidRPr="00E81653" w:rsidRDefault="00AB3A35" w:rsidP="00AB3A35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104 726,26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47 773,91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56 914,35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B55169" w:rsidRDefault="00AB3A35" w:rsidP="00AB3A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F313D2" w:rsidRPr="008C7462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AB3A35" w:rsidRDefault="00AB3A35" w:rsidP="00AB3A3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AB3A35">
        <w:rPr>
          <w:rFonts w:ascii="Times New Roman" w:hAnsi="Times New Roman"/>
          <w:spacing w:val="3"/>
          <w:sz w:val="24"/>
          <w:szCs w:val="24"/>
        </w:rPr>
        <w:t>В разделе 4 «Целевые показатели муниципальной программы «Развитие инженерной инфрас</w:t>
      </w:r>
      <w:r>
        <w:rPr>
          <w:rFonts w:ascii="Times New Roman" w:hAnsi="Times New Roman"/>
          <w:spacing w:val="3"/>
          <w:sz w:val="24"/>
          <w:szCs w:val="24"/>
        </w:rPr>
        <w:t xml:space="preserve">труктуры, энергоэффективности и </w:t>
      </w:r>
      <w:r w:rsidRPr="00AB3A35">
        <w:rPr>
          <w:rFonts w:ascii="Times New Roman" w:hAnsi="Times New Roman"/>
          <w:spacing w:val="3"/>
          <w:sz w:val="24"/>
          <w:szCs w:val="24"/>
        </w:rPr>
        <w:t>отрасли обращения с отходами»</w:t>
      </w:r>
      <w:r>
        <w:rPr>
          <w:rFonts w:ascii="Times New Roman" w:hAnsi="Times New Roman"/>
          <w:spacing w:val="3"/>
          <w:sz w:val="24"/>
          <w:szCs w:val="24"/>
        </w:rPr>
        <w:t xml:space="preserve"> строки 3, 4, 5 изложить в следующей редакции:</w:t>
      </w:r>
    </w:p>
    <w:p w:rsidR="00AB3A35" w:rsidRDefault="00AB3A35" w:rsidP="00AB3A35">
      <w:pPr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126"/>
      </w:tblGrid>
      <w:tr w:rsidR="00AB3A35" w:rsidRPr="00AB3A35" w:rsidTr="00AB3A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35" w:rsidRPr="00AB3A35" w:rsidRDefault="00AB3A35" w:rsidP="00AB3A35">
            <w:pPr>
              <w:shd w:val="clear" w:color="auto" w:fill="FFFFFF"/>
              <w:rPr>
                <w:rFonts w:eastAsia="Calibri"/>
                <w:i/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Доля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зданий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строений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сооружений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муниципальной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собственности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соответствующих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нормальному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уровню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энергетической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эффективности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выше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(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А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val="en-US"/>
              </w:rPr>
              <w:t>B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val="en-US"/>
              </w:rPr>
              <w:t>C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val="en-US"/>
              </w:rPr>
              <w:t>D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A35" w:rsidRPr="00AB3A35" w:rsidRDefault="00AB3A35" w:rsidP="00AB3A35">
            <w:pPr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35" w:rsidRPr="00AB3A35" w:rsidRDefault="00AB3A35" w:rsidP="00AB3A35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iCs/>
                <w:color w:val="auto"/>
                <w:kern w:val="0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5.01.03</w:t>
            </w:r>
          </w:p>
        </w:tc>
      </w:tr>
      <w:tr w:rsidR="00AB3A35" w:rsidRPr="00AB3A35" w:rsidTr="00AB3A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35" w:rsidRPr="00AB3A35" w:rsidRDefault="00AB3A35" w:rsidP="00AB3A35">
            <w:pPr>
              <w:shd w:val="clear" w:color="auto" w:fill="FFFFFF"/>
              <w:rPr>
                <w:i/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Доля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зданий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строений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сооружений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органов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местного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самоуправления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муниципальных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учреждений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,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оснащенных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приборами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учета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потребляемых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энергетических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A35" w:rsidRPr="00AB3A35" w:rsidRDefault="00AB3A35" w:rsidP="00AB3A35">
            <w:pPr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35" w:rsidRPr="00AB3A35" w:rsidRDefault="00AB3A35" w:rsidP="00AB3A35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iCs/>
                <w:color w:val="auto"/>
                <w:kern w:val="0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5.01.10</w:t>
            </w:r>
          </w:p>
        </w:tc>
      </w:tr>
      <w:tr w:rsidR="00AB3A35" w:rsidRPr="00AB3A35" w:rsidTr="00AB3A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35" w:rsidRPr="00AB3A35" w:rsidRDefault="00AB3A35" w:rsidP="00AB3A35">
            <w:pPr>
              <w:shd w:val="clear" w:color="auto" w:fill="FFFFFF"/>
              <w:rPr>
                <w:i/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Оснащенность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многоквартирных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домов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общедомовыми (коллективными)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приборами</w:t>
            </w:r>
            <w:r w:rsidRPr="00AB3A35">
              <w:rPr>
                <w:bCs/>
                <w:color w:val="auto"/>
                <w:kern w:val="0"/>
                <w:sz w:val="18"/>
                <w:szCs w:val="22"/>
              </w:rPr>
              <w:t xml:space="preserve"> </w:t>
            </w:r>
            <w:r w:rsidRPr="00AB3A35">
              <w:rPr>
                <w:bCs/>
                <w:color w:val="auto"/>
                <w:kern w:val="0"/>
                <w:sz w:val="18"/>
                <w:szCs w:val="22"/>
                <w:lang w:bidi="ru-RU"/>
              </w:rPr>
              <w:t>учета потребляемых энергетических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35" w:rsidRPr="00AB3A35" w:rsidRDefault="00AB3A35" w:rsidP="00AB3A35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22"/>
                <w:lang w:eastAsia="en-US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35" w:rsidRPr="00AB3A35" w:rsidRDefault="00AB3A35" w:rsidP="00AB3A35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22"/>
                <w:lang w:eastAsia="en-US"/>
              </w:rPr>
            </w:pPr>
            <w:r w:rsidRPr="00AB3A35">
              <w:rPr>
                <w:iCs/>
                <w:color w:val="auto"/>
                <w:kern w:val="0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5" w:rsidRPr="00AB3A35" w:rsidRDefault="00AB3A35" w:rsidP="00AB3A35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AB3A35">
              <w:rPr>
                <w:color w:val="auto"/>
                <w:kern w:val="0"/>
                <w:sz w:val="18"/>
                <w:szCs w:val="18"/>
                <w:lang w:eastAsia="en-US"/>
              </w:rPr>
              <w:t>5.02.01</w:t>
            </w:r>
          </w:p>
        </w:tc>
      </w:tr>
    </w:tbl>
    <w:p w:rsidR="00AB3A35" w:rsidRPr="00AB3A35" w:rsidRDefault="00AB3A35" w:rsidP="00AB3A35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AB3A35" w:rsidRDefault="00AB3A35" w:rsidP="00AB3A35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AB3A35">
        <w:rPr>
          <w:rFonts w:ascii="Times New Roman" w:hAnsi="Times New Roman"/>
          <w:spacing w:val="3"/>
          <w:sz w:val="24"/>
          <w:szCs w:val="24"/>
        </w:rPr>
        <w:t>В разделе 5</w:t>
      </w:r>
      <w:r w:rsidRPr="00AB3A35">
        <w:t xml:space="preserve"> </w:t>
      </w:r>
      <w:r>
        <w:t>«</w:t>
      </w:r>
      <w:r w:rsidRPr="00AB3A35">
        <w:rPr>
          <w:rFonts w:ascii="Times New Roman" w:hAnsi="Times New Roman"/>
          <w:spacing w:val="3"/>
          <w:sz w:val="24"/>
          <w:szCs w:val="24"/>
        </w:rPr>
        <w:t>Методика расчета значений планируемых целевых показателей муниципальной программы 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5 изложить в следующей редакции:</w:t>
      </w:r>
    </w:p>
    <w:p w:rsidR="008A3470" w:rsidRDefault="00AB3A35" w:rsidP="00AB3A35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120"/>
        <w:tblW w:w="147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134"/>
        <w:gridCol w:w="6378"/>
        <w:gridCol w:w="2835"/>
      </w:tblGrid>
      <w:tr w:rsidR="008A3470" w:rsidRPr="008A3470" w:rsidTr="008A3470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adjustRightInd w:val="0"/>
              <w:ind w:left="-704" w:firstLine="72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8A3470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Cs/>
                <w:color w:val="auto"/>
                <w:kern w:val="0"/>
                <w:sz w:val="18"/>
                <w:szCs w:val="18"/>
                <w:lang w:bidi="ru-RU"/>
              </w:rPr>
              <w:t>Оснащенность</w:t>
            </w:r>
            <w:r w:rsidRPr="008A3470">
              <w:rPr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Pr="008A3470">
              <w:rPr>
                <w:bCs/>
                <w:color w:val="auto"/>
                <w:kern w:val="0"/>
                <w:sz w:val="18"/>
                <w:szCs w:val="18"/>
                <w:lang w:bidi="ru-RU"/>
              </w:rPr>
              <w:t>многоквартирных</w:t>
            </w:r>
            <w:r w:rsidRPr="008A3470">
              <w:rPr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Pr="008A3470">
              <w:rPr>
                <w:bCs/>
                <w:color w:val="auto"/>
                <w:kern w:val="0"/>
                <w:sz w:val="18"/>
                <w:szCs w:val="18"/>
                <w:lang w:bidi="ru-RU"/>
              </w:rPr>
              <w:t>домов</w:t>
            </w:r>
            <w:r w:rsidRPr="008A3470">
              <w:rPr>
                <w:bCs/>
                <w:color w:val="auto"/>
                <w:kern w:val="0"/>
                <w:sz w:val="18"/>
                <w:szCs w:val="18"/>
              </w:rPr>
              <w:t xml:space="preserve"> общедомовыми (коллективными) </w:t>
            </w:r>
            <w:r w:rsidRPr="008A3470">
              <w:rPr>
                <w:bCs/>
                <w:color w:val="auto"/>
                <w:kern w:val="0"/>
                <w:sz w:val="18"/>
                <w:szCs w:val="18"/>
                <w:lang w:bidi="ru-RU"/>
              </w:rPr>
              <w:t>приборами</w:t>
            </w:r>
            <w:r w:rsidRPr="008A3470">
              <w:rPr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 w:rsidRPr="008A3470">
              <w:rPr>
                <w:bCs/>
                <w:color w:val="auto"/>
                <w:kern w:val="0"/>
                <w:sz w:val="18"/>
                <w:szCs w:val="18"/>
                <w:lang w:bidi="ru-RU"/>
              </w:rPr>
              <w:t>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shd w:val="clear" w:color="auto" w:fill="FFFFFF"/>
              <w:overflowPunct w:val="0"/>
              <w:contextualSpacing/>
              <w:rPr>
                <w:bCs/>
                <w:color w:val="auto"/>
                <w:kern w:val="0"/>
                <w:sz w:val="22"/>
                <w:szCs w:val="22"/>
              </w:rPr>
            </w:pPr>
            <w:r w:rsidRPr="008A3470">
              <w:rPr>
                <w:bCs/>
                <w:color w:val="auto"/>
                <w:kern w:val="0"/>
                <w:sz w:val="22"/>
                <w:szCs w:val="22"/>
              </w:rPr>
              <w:t xml:space="preserve">Д = </w:t>
            </w:r>
            <w:r w:rsidRPr="008A3470">
              <w:rPr>
                <w:bCs/>
                <w:color w:val="auto"/>
                <w:kern w:val="0"/>
                <w:sz w:val="22"/>
                <w:szCs w:val="22"/>
                <w:u w:val="single"/>
              </w:rPr>
              <w:t>М</w:t>
            </w:r>
            <w:r w:rsidRPr="008A3470">
              <w:rPr>
                <w:bCs/>
                <w:color w:val="auto"/>
                <w:kern w:val="0"/>
                <w:sz w:val="22"/>
                <w:szCs w:val="22"/>
              </w:rPr>
              <w:t>×100%, где</w:t>
            </w:r>
          </w:p>
          <w:p w:rsidR="008A3470" w:rsidRPr="008A3470" w:rsidRDefault="008A3470" w:rsidP="008A3470">
            <w:pPr>
              <w:shd w:val="clear" w:color="auto" w:fill="FFFFFF"/>
              <w:overflowPunct w:val="0"/>
              <w:ind w:firstLine="440"/>
              <w:contextualSpacing/>
              <w:rPr>
                <w:bCs/>
                <w:color w:val="auto"/>
                <w:kern w:val="0"/>
                <w:sz w:val="22"/>
                <w:szCs w:val="22"/>
              </w:rPr>
            </w:pPr>
            <w:r w:rsidRPr="008A3470">
              <w:rPr>
                <w:bCs/>
                <w:color w:val="auto"/>
                <w:kern w:val="0"/>
                <w:sz w:val="22"/>
                <w:szCs w:val="22"/>
              </w:rPr>
              <w:t>К</w:t>
            </w:r>
          </w:p>
          <w:p w:rsidR="008A3470" w:rsidRPr="008A3470" w:rsidRDefault="008A3470" w:rsidP="008A3470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8A3470" w:rsidRPr="008A3470" w:rsidRDefault="008A3470" w:rsidP="008A3470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М - количество многоквартирных домов, оснащенных приборами учета потребляемых энергетических ресурсов;</w:t>
            </w:r>
          </w:p>
          <w:p w:rsidR="008A3470" w:rsidRPr="008A3470" w:rsidRDefault="008A3470" w:rsidP="008A3470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</w:tbl>
    <w:p w:rsidR="00AB3A35" w:rsidRPr="00AB3A35" w:rsidRDefault="00AB3A35" w:rsidP="008A3470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44BDD" w:rsidRPr="0045182E" w:rsidRDefault="00AB3A35" w:rsidP="00F313D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3470">
        <w:rPr>
          <w:rFonts w:ascii="Times New Roman" w:hAnsi="Times New Roman"/>
          <w:spacing w:val="3"/>
          <w:sz w:val="24"/>
          <w:szCs w:val="24"/>
        </w:rPr>
        <w:t>Перечень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F313D2">
        <w:rPr>
          <w:rFonts w:ascii="Times New Roman" w:hAnsi="Times New Roman"/>
          <w:spacing w:val="3"/>
          <w:sz w:val="24"/>
          <w:szCs w:val="24"/>
        </w:rPr>
        <w:t>3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313D2" w:rsidRPr="00F313D2">
        <w:rPr>
          <w:rFonts w:ascii="Times New Roman" w:hAnsi="Times New Roman"/>
          <w:spacing w:val="3"/>
          <w:sz w:val="24"/>
          <w:szCs w:val="24"/>
        </w:rPr>
        <w:t>«Объекты теплоснабжения, инженерные коммуникации»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45182E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275"/>
        <w:gridCol w:w="1983"/>
        <w:gridCol w:w="1134"/>
        <w:gridCol w:w="1134"/>
        <w:gridCol w:w="709"/>
        <w:gridCol w:w="498"/>
        <w:gridCol w:w="498"/>
        <w:gridCol w:w="498"/>
        <w:gridCol w:w="499"/>
        <w:gridCol w:w="919"/>
        <w:gridCol w:w="924"/>
        <w:gridCol w:w="919"/>
        <w:gridCol w:w="45"/>
        <w:gridCol w:w="1728"/>
      </w:tblGrid>
      <w:tr w:rsidR="008A3470" w:rsidRPr="008A3470" w:rsidTr="008A3470">
        <w:trPr>
          <w:trHeight w:val="6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Всего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ind w:right="140"/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A3470" w:rsidRPr="008A3470" w:rsidTr="008A3470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Подпрограммы</w:t>
            </w:r>
          </w:p>
        </w:tc>
      </w:tr>
      <w:tr w:rsidR="008A3470" w:rsidRPr="008A3470" w:rsidTr="008A3470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11</w:t>
            </w:r>
          </w:p>
        </w:tc>
      </w:tr>
      <w:tr w:rsidR="008A3470" w:rsidRPr="008A3470" w:rsidTr="008A3470">
        <w:trPr>
          <w:trHeight w:val="38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103 661,00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47 015,65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56 645,35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55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97 917,45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44 665,00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8A3470" w:rsidRPr="008A3470" w:rsidTr="008A3470">
        <w:trPr>
          <w:trHeight w:val="113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5 743,55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2 350,65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3 392,90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03.02.</w:t>
            </w:r>
          </w:p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Cs/>
                <w:color w:val="2E2E2E"/>
                <w:kern w:val="0"/>
                <w:sz w:val="18"/>
                <w:szCs w:val="18"/>
                <w:lang w:eastAsia="en-US"/>
              </w:rPr>
              <w:t>103 661,00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Cs/>
                <w:color w:val="2E2E2E"/>
                <w:kern w:val="0"/>
                <w:sz w:val="18"/>
                <w:szCs w:val="18"/>
                <w:lang w:eastAsia="en-US"/>
              </w:rPr>
              <w:t>47 015,65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Cs/>
                <w:color w:val="2E2E2E"/>
                <w:kern w:val="0"/>
                <w:sz w:val="18"/>
                <w:szCs w:val="18"/>
                <w:lang w:eastAsia="en-US"/>
              </w:rPr>
              <w:t>56 645,35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52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97 917,45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44 665,00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79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5 743,55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2 350,65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  <w:t>3 392,90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31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i/>
                <w:kern w:val="0"/>
                <w:sz w:val="18"/>
                <w:szCs w:val="18"/>
              </w:rPr>
            </w:pPr>
            <w:r w:rsidRPr="008A3470">
              <w:rPr>
                <w:i/>
                <w:color w:val="auto"/>
                <w:kern w:val="0"/>
                <w:sz w:val="18"/>
                <w:szCs w:val="18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 xml:space="preserve">Основное мероприятие 05 </w:t>
            </w:r>
          </w:p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28"/>
                <w:szCs w:val="22"/>
                <w:lang w:eastAsia="en-US"/>
              </w:rPr>
            </w:pPr>
            <w:r w:rsidRPr="008A3470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200,00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200,00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05.01.</w:t>
            </w:r>
          </w:p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28"/>
                <w:szCs w:val="22"/>
                <w:lang w:eastAsia="en-US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8A3470" w:rsidRPr="008A3470" w:rsidRDefault="008A3470" w:rsidP="008A3470">
            <w:pPr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2.2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05.02.</w:t>
            </w:r>
          </w:p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  <w:lang w:val="en-US"/>
              </w:rPr>
              <w:t>10</w:t>
            </w: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8A3470" w:rsidRPr="008A3470" w:rsidRDefault="008A3470" w:rsidP="008A3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  <w:r w:rsidRPr="008A3470"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2.3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05.03.</w:t>
            </w:r>
          </w:p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i/>
                <w:kern w:val="0"/>
                <w:sz w:val="18"/>
                <w:szCs w:val="18"/>
              </w:rPr>
            </w:pPr>
            <w:r w:rsidRPr="008A3470">
              <w:rPr>
                <w:i/>
                <w:color w:val="auto"/>
                <w:kern w:val="0"/>
                <w:sz w:val="18"/>
                <w:szCs w:val="18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31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Итого по подпрограмме 3: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104 061,00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47 215,65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bCs/>
                <w:color w:val="2E2E2E"/>
                <w:kern w:val="0"/>
                <w:sz w:val="18"/>
                <w:szCs w:val="18"/>
                <w:lang w:eastAsia="en-US"/>
              </w:rPr>
              <w:t>56 845,35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 </w:t>
            </w:r>
          </w:p>
        </w:tc>
      </w:tr>
      <w:tr w:rsidR="008A3470" w:rsidRPr="008A3470" w:rsidTr="008A3470">
        <w:trPr>
          <w:trHeight w:val="40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97 917,45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44 665,00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98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b/>
                <w:kern w:val="0"/>
                <w:sz w:val="18"/>
                <w:szCs w:val="18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val="en-US" w:eastAsia="en-US"/>
              </w:rPr>
              <w:t>6 143</w:t>
            </w: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2 550,65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spacing w:line="270" w:lineRule="atLeast"/>
              <w:jc w:val="center"/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rFonts w:eastAsia="Calibri"/>
                <w:b/>
                <w:color w:val="2E2E2E"/>
                <w:kern w:val="0"/>
                <w:sz w:val="18"/>
                <w:szCs w:val="18"/>
                <w:lang w:eastAsia="en-US"/>
              </w:rPr>
              <w:t>3 592,90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8A3470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p w:rsidR="002B2991" w:rsidRPr="002B2991" w:rsidRDefault="002B2991" w:rsidP="002B2991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2B2991">
        <w:rPr>
          <w:rFonts w:ascii="Times New Roman" w:hAnsi="Times New Roman"/>
          <w:spacing w:val="3"/>
          <w:sz w:val="24"/>
          <w:szCs w:val="24"/>
        </w:rPr>
        <w:t xml:space="preserve">Перечень мероприятий подпрограммы 5 </w:t>
      </w:r>
      <w:r w:rsidRPr="002B2991">
        <w:rPr>
          <w:rFonts w:ascii="Times New Roman" w:eastAsia="Times New Roman" w:hAnsi="Times New Roman"/>
          <w:sz w:val="24"/>
          <w:szCs w:val="24"/>
        </w:rPr>
        <w:t>«Энергосбережение и повышение энергетической эффективности»</w:t>
      </w:r>
      <w:r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2B2991" w:rsidRDefault="002B2991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9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2414"/>
        <w:gridCol w:w="1417"/>
        <w:gridCol w:w="1559"/>
        <w:gridCol w:w="1134"/>
        <w:gridCol w:w="1134"/>
        <w:gridCol w:w="854"/>
        <w:gridCol w:w="569"/>
        <w:gridCol w:w="569"/>
        <w:gridCol w:w="568"/>
        <w:gridCol w:w="568"/>
        <w:gridCol w:w="921"/>
        <w:gridCol w:w="921"/>
        <w:gridCol w:w="926"/>
        <w:gridCol w:w="1814"/>
        <w:gridCol w:w="27"/>
      </w:tblGrid>
      <w:tr w:rsidR="002B2991" w:rsidRPr="002B2991" w:rsidTr="001004E8">
        <w:trPr>
          <w:gridAfter w:val="1"/>
          <w:wAfter w:w="27" w:type="dxa"/>
          <w:trHeight w:val="6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Всего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(тыс. руб.)</w:t>
            </w:r>
          </w:p>
        </w:tc>
        <w:tc>
          <w:tcPr>
            <w:tcW w:w="7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Объемы финансирования по годам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Ответственный за выполнение мероприятия</w:t>
            </w:r>
          </w:p>
        </w:tc>
      </w:tr>
      <w:tr w:rsidR="002B2991" w:rsidRPr="002B2991" w:rsidTr="001004E8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2023 год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2025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2026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2027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11</w:t>
            </w:r>
          </w:p>
        </w:tc>
      </w:tr>
      <w:tr w:rsidR="002B2991" w:rsidRPr="002B2991" w:rsidTr="001004E8">
        <w:trPr>
          <w:trHeight w:val="387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28"/>
                <w:szCs w:val="22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55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113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48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Мероприятие 01.03.</w:t>
            </w:r>
          </w:p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28"/>
                <w:szCs w:val="22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52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108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  <w:t>Промыты трубопроводы и стояки системы отопления, км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2B2991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2025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2026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2027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Мероприятие 01.10.</w:t>
            </w:r>
          </w:p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auto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2B2991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2025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2026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2027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2B2991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6"/>
              </w:rPr>
            </w:pPr>
            <w:r w:rsidRPr="002B2991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Основное мероприятие 02 «Организация учета энергоресурсов в жилищном фонде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4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Мероприятие 02.01.</w:t>
            </w:r>
          </w:p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30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  <w:t>Установлены, заменены, поверены общедомовые</w:t>
            </w:r>
          </w:p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  <w:t>приборы учета топливно-энергетических ресурсов в МКД,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2B2991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2025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2026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2027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30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51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2.2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i/>
                <w:kern w:val="0"/>
                <w:sz w:val="18"/>
                <w:szCs w:val="18"/>
              </w:rPr>
            </w:pPr>
            <w:r w:rsidRPr="002B2991">
              <w:rPr>
                <w:i/>
                <w:color w:val="auto"/>
                <w:kern w:val="0"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2B2991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2025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2026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2027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3.1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Мероприятие 03.01.</w:t>
            </w:r>
          </w:p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23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  <w:t>Выдано актов «ГУ МО "Государственная жилищная инспекция Московской области", о присвоении класса энергоэффективности, ед.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2B2991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2025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2026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2027</w:t>
            </w:r>
          </w:p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2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91" w:rsidRPr="002B2991" w:rsidRDefault="002B2991" w:rsidP="002B2991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2B2991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 по подпрограмме 5: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590,26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540,26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  <w:r w:rsidRPr="002B2991">
              <w:rPr>
                <w:kern w:val="0"/>
                <w:sz w:val="16"/>
                <w:szCs w:val="16"/>
              </w:rPr>
              <w:t> </w:t>
            </w:r>
          </w:p>
        </w:tc>
      </w:tr>
      <w:tr w:rsidR="002B2991" w:rsidRPr="002B2991" w:rsidTr="001004E8">
        <w:trPr>
          <w:trHeight w:val="407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  <w:tr w:rsidR="002B2991" w:rsidRPr="002B2991" w:rsidTr="001004E8">
        <w:trPr>
          <w:trHeight w:val="98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590,26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540,26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1" w:rsidRPr="002B2991" w:rsidRDefault="002B2991" w:rsidP="002B2991">
            <w:pPr>
              <w:rPr>
                <w:kern w:val="0"/>
                <w:sz w:val="16"/>
                <w:szCs w:val="16"/>
              </w:rPr>
            </w:pPr>
          </w:p>
        </w:tc>
      </w:tr>
    </w:tbl>
    <w:p w:rsidR="002B2991" w:rsidRDefault="002B2991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2B2991" w:rsidRDefault="002B2991" w:rsidP="002B2991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2B2991">
        <w:rPr>
          <w:rFonts w:ascii="Times New Roman" w:hAnsi="Times New Roman"/>
          <w:spacing w:val="3"/>
          <w:sz w:val="24"/>
          <w:szCs w:val="24"/>
        </w:rPr>
        <w:t>Перечень мероприятий подпрограммы 8 «Реализация полномочий в сфере жилищно-коммунального хозяйства»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2B2991" w:rsidRDefault="002B2991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983"/>
        <w:gridCol w:w="983"/>
        <w:gridCol w:w="984"/>
        <w:gridCol w:w="983"/>
        <w:gridCol w:w="984"/>
        <w:gridCol w:w="1843"/>
        <w:gridCol w:w="1559"/>
      </w:tblGrid>
      <w:tr w:rsidR="002B2991" w:rsidRPr="002B2991" w:rsidTr="002B2991">
        <w:trPr>
          <w:trHeight w:val="497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№</w:t>
            </w:r>
          </w:p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Всего (тыс. руб.)</w:t>
            </w:r>
          </w:p>
        </w:tc>
        <w:tc>
          <w:tcPr>
            <w:tcW w:w="4917" w:type="dxa"/>
            <w:gridSpan w:val="5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2B2991" w:rsidRPr="002B2991" w:rsidTr="002B2991">
        <w:tc>
          <w:tcPr>
            <w:tcW w:w="710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253"/>
        </w:trPr>
        <w:tc>
          <w:tcPr>
            <w:tcW w:w="710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22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388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13</w:t>
            </w:r>
          </w:p>
        </w:tc>
      </w:tr>
      <w:tr w:rsidR="002B2991" w:rsidRPr="002B2991" w:rsidTr="002B2991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shd w:val="clear" w:color="auto" w:fill="FFFFFF"/>
                <w:lang w:eastAsia="en-US"/>
              </w:rPr>
              <w:t>02</w:t>
            </w: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473"/>
        </w:trPr>
        <w:tc>
          <w:tcPr>
            <w:tcW w:w="710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472"/>
        </w:trPr>
        <w:tc>
          <w:tcPr>
            <w:tcW w:w="710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ascii="Times New Roman CYR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b/>
                <w:kern w:val="0"/>
                <w:sz w:val="18"/>
                <w:szCs w:val="18"/>
              </w:rPr>
            </w:pPr>
            <w:r w:rsidRPr="002B2991">
              <w:rPr>
                <w:b/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373"/>
        </w:trPr>
        <w:tc>
          <w:tcPr>
            <w:tcW w:w="710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B2991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Мероприятие 02.05</w:t>
            </w:r>
          </w:p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562"/>
        </w:trPr>
        <w:tc>
          <w:tcPr>
            <w:tcW w:w="710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19,00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2B2991" w:rsidRPr="002B2991" w:rsidTr="002B2991">
        <w:trPr>
          <w:trHeight w:val="840"/>
        </w:trPr>
        <w:tc>
          <w:tcPr>
            <w:tcW w:w="710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2B2991" w:rsidRPr="002B2991" w:rsidRDefault="002B2991" w:rsidP="002B299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B2991" w:rsidRPr="002B2991" w:rsidRDefault="002B2991" w:rsidP="002B2991">
            <w:pPr>
              <w:ind w:hanging="100"/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1" w:rsidRPr="002B2991" w:rsidRDefault="002B2991" w:rsidP="002B2991">
            <w:pPr>
              <w:rPr>
                <w:kern w:val="0"/>
                <w:sz w:val="18"/>
                <w:szCs w:val="18"/>
              </w:rPr>
            </w:pPr>
            <w:r w:rsidRPr="002B2991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3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:rsidR="002B2991" w:rsidRPr="002B2991" w:rsidRDefault="002B2991" w:rsidP="002B2991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2B299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B2991" w:rsidRPr="002B2991" w:rsidRDefault="002B2991" w:rsidP="002B299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</w:tbl>
    <w:p w:rsidR="002B2991" w:rsidRPr="002B2991" w:rsidRDefault="002B2991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bookmarkStart w:id="0" w:name="_GoBack"/>
      <w:bookmarkEnd w:id="0"/>
      <w:r>
        <w:rPr>
          <w:spacing w:val="3"/>
          <w:sz w:val="24"/>
          <w:szCs w:val="24"/>
        </w:rPr>
        <w:t>»</w:t>
      </w:r>
    </w:p>
    <w:sectPr w:rsidR="002B2991" w:rsidRPr="002B2991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2991"/>
    <w:rsid w:val="002B513D"/>
    <w:rsid w:val="002C17A9"/>
    <w:rsid w:val="002C4081"/>
    <w:rsid w:val="002C520E"/>
    <w:rsid w:val="002C5F9A"/>
    <w:rsid w:val="002D48DE"/>
    <w:rsid w:val="002E06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09E8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182E"/>
    <w:rsid w:val="0045360C"/>
    <w:rsid w:val="00455F21"/>
    <w:rsid w:val="004620A8"/>
    <w:rsid w:val="00462A01"/>
    <w:rsid w:val="004636C7"/>
    <w:rsid w:val="004663D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46C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430D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3470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548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3A35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0A2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13D2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F313D2"/>
  </w:style>
  <w:style w:type="character" w:customStyle="1" w:styleId="readonly">
    <w:name w:val="readonly"/>
    <w:basedOn w:val="a0"/>
    <w:rsid w:val="00F313D2"/>
  </w:style>
  <w:style w:type="table" w:customStyle="1" w:styleId="120">
    <w:name w:val="Сетка таблицы12"/>
    <w:basedOn w:val="a1"/>
    <w:next w:val="a5"/>
    <w:uiPriority w:val="39"/>
    <w:rsid w:val="008A3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506E-E1D9-4D7C-B328-ADA4286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55</cp:revision>
  <cp:lastPrinted>2023-03-10T09:16:00Z</cp:lastPrinted>
  <dcterms:created xsi:type="dcterms:W3CDTF">2020-09-25T09:22:00Z</dcterms:created>
  <dcterms:modified xsi:type="dcterms:W3CDTF">2023-12-18T13:45:00Z</dcterms:modified>
</cp:coreProperties>
</file>