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B5" w:rsidRDefault="00C675B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675B5" w:rsidRDefault="00C675B5">
      <w:pPr>
        <w:pStyle w:val="ConsPlusNormal"/>
        <w:jc w:val="both"/>
        <w:outlineLvl w:val="0"/>
      </w:pPr>
    </w:p>
    <w:p w:rsidR="00C675B5" w:rsidRDefault="00C675B5">
      <w:pPr>
        <w:pStyle w:val="ConsPlusTitle"/>
        <w:jc w:val="center"/>
        <w:outlineLvl w:val="0"/>
      </w:pPr>
      <w:r>
        <w:t>ПРАВИТЕЛЬСТВО МОСКОВСКОЙ ОБЛАСТИ</w:t>
      </w:r>
    </w:p>
    <w:p w:rsidR="00C675B5" w:rsidRDefault="00C675B5">
      <w:pPr>
        <w:pStyle w:val="ConsPlusTitle"/>
        <w:jc w:val="center"/>
      </w:pPr>
    </w:p>
    <w:p w:rsidR="00C675B5" w:rsidRDefault="00C675B5">
      <w:pPr>
        <w:pStyle w:val="ConsPlusTitle"/>
        <w:jc w:val="center"/>
      </w:pPr>
      <w:r>
        <w:t>ПОСТАНОВЛЕНИЕ</w:t>
      </w:r>
    </w:p>
    <w:p w:rsidR="00C675B5" w:rsidRDefault="00C675B5">
      <w:pPr>
        <w:pStyle w:val="ConsPlusTitle"/>
        <w:jc w:val="center"/>
      </w:pPr>
      <w:r>
        <w:t>от 28 июня 2013 г. N 463/25</w:t>
      </w:r>
    </w:p>
    <w:p w:rsidR="00C675B5" w:rsidRDefault="00C675B5">
      <w:pPr>
        <w:pStyle w:val="ConsPlusTitle"/>
        <w:jc w:val="center"/>
      </w:pPr>
    </w:p>
    <w:p w:rsidR="00C675B5" w:rsidRDefault="00C675B5">
      <w:pPr>
        <w:pStyle w:val="ConsPlusTitle"/>
        <w:jc w:val="center"/>
      </w:pPr>
      <w:r>
        <w:t>ОБ УТВЕРЖДЕНИИ ПРЕДЕЛЬНЫХ СРОКОВ ЗАКЛЮЧЕНИЯ ДОГОВОРОВ</w:t>
      </w:r>
    </w:p>
    <w:p w:rsidR="00C675B5" w:rsidRDefault="00C675B5">
      <w:pPr>
        <w:pStyle w:val="ConsPlusTitle"/>
        <w:jc w:val="center"/>
      </w:pPr>
      <w:r>
        <w:t>НА УСТАНОВКУ И ЭКСПЛУАТАЦИЮ РЕКЛАМНЫХ КОНСТРУКЦИЙ</w:t>
      </w:r>
    </w:p>
    <w:p w:rsidR="00C675B5" w:rsidRDefault="00C675B5">
      <w:pPr>
        <w:pStyle w:val="ConsPlusNormal"/>
        <w:jc w:val="both"/>
      </w:pPr>
    </w:p>
    <w:p w:rsidR="00C675B5" w:rsidRDefault="00C675B5">
      <w:pPr>
        <w:pStyle w:val="ConsPlusNormal"/>
        <w:ind w:firstLine="540"/>
        <w:jc w:val="both"/>
      </w:pPr>
      <w:proofErr w:type="gramStart"/>
      <w:r>
        <w:t xml:space="preserve">В целях оптимизации рекламного и информационного пространства и организации единого подхода, учета и контроля за установкой и эксплуатацией рекламных конструкций и средств размещения информации на территории Московской области,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13.03.2006 N 38-ФЗ "О рекламе" и </w:t>
      </w:r>
      <w:hyperlink r:id="rId6" w:history="1">
        <w:r>
          <w:rPr>
            <w:color w:val="0000FF"/>
          </w:rPr>
          <w:t>Законом</w:t>
        </w:r>
      </w:hyperlink>
      <w:r>
        <w:t xml:space="preserve"> Московской области N 230/2005-ОЗ "О Правительстве Московской области" Правительство Московской области постановляет:</w:t>
      </w:r>
      <w:proofErr w:type="gramEnd"/>
    </w:p>
    <w:p w:rsidR="00C675B5" w:rsidRDefault="00C675B5">
      <w:pPr>
        <w:pStyle w:val="ConsPlusNormal"/>
        <w:spacing w:before="220"/>
        <w:ind w:firstLine="540"/>
        <w:jc w:val="both"/>
      </w:pPr>
      <w:r>
        <w:t xml:space="preserve">1. Утвердить предельные </w:t>
      </w:r>
      <w:hyperlink w:anchor="P27" w:history="1">
        <w:r>
          <w:rPr>
            <w:color w:val="0000FF"/>
          </w:rPr>
          <w:t>сроки</w:t>
        </w:r>
      </w:hyperlink>
      <w:r>
        <w:t>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демонстраций рекламы (прилагаются).</w:t>
      </w:r>
    </w:p>
    <w:p w:rsidR="00C675B5" w:rsidRDefault="00C675B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C675B5" w:rsidRDefault="00C675B5">
      <w:pPr>
        <w:pStyle w:val="ConsPlusNormal"/>
        <w:spacing w:before="220"/>
        <w:ind w:firstLine="540"/>
        <w:jc w:val="both"/>
      </w:pPr>
      <w:r>
        <w:t>3. Главному управлению по информационной политике Московской области опубликовать настоящее постановление в газете "Ежедневные новости. Подмосковье".</w:t>
      </w:r>
    </w:p>
    <w:p w:rsidR="00C675B5" w:rsidRDefault="00C675B5">
      <w:pPr>
        <w:pStyle w:val="ConsPlusNormal"/>
        <w:jc w:val="both"/>
      </w:pPr>
    </w:p>
    <w:p w:rsidR="00C675B5" w:rsidRDefault="00C675B5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C675B5" w:rsidRDefault="00C675B5">
      <w:pPr>
        <w:pStyle w:val="ConsPlusNormal"/>
        <w:jc w:val="right"/>
      </w:pPr>
      <w:r>
        <w:t>Губернатора Московской области</w:t>
      </w:r>
    </w:p>
    <w:p w:rsidR="00C675B5" w:rsidRDefault="00C675B5">
      <w:pPr>
        <w:pStyle w:val="ConsPlusNormal"/>
        <w:jc w:val="right"/>
      </w:pPr>
      <w:r>
        <w:t>А.Ю. Воробьев</w:t>
      </w:r>
    </w:p>
    <w:p w:rsidR="00C675B5" w:rsidRDefault="00C675B5">
      <w:pPr>
        <w:pStyle w:val="ConsPlusNormal"/>
        <w:jc w:val="both"/>
      </w:pPr>
    </w:p>
    <w:p w:rsidR="00C675B5" w:rsidRDefault="00C675B5">
      <w:pPr>
        <w:pStyle w:val="ConsPlusNormal"/>
        <w:jc w:val="both"/>
      </w:pPr>
    </w:p>
    <w:p w:rsidR="00C675B5" w:rsidRDefault="00C675B5">
      <w:pPr>
        <w:pStyle w:val="ConsPlusNormal"/>
        <w:jc w:val="both"/>
      </w:pPr>
    </w:p>
    <w:p w:rsidR="00C675B5" w:rsidRDefault="00C675B5">
      <w:pPr>
        <w:pStyle w:val="ConsPlusNormal"/>
        <w:jc w:val="both"/>
      </w:pPr>
    </w:p>
    <w:p w:rsidR="00C675B5" w:rsidRDefault="00C675B5">
      <w:pPr>
        <w:pStyle w:val="ConsPlusNormal"/>
        <w:jc w:val="both"/>
      </w:pPr>
    </w:p>
    <w:p w:rsidR="00C675B5" w:rsidRDefault="00C675B5">
      <w:pPr>
        <w:pStyle w:val="ConsPlusNormal"/>
        <w:jc w:val="right"/>
        <w:outlineLvl w:val="0"/>
      </w:pPr>
      <w:r>
        <w:t>Утверждены</w:t>
      </w:r>
    </w:p>
    <w:p w:rsidR="00C675B5" w:rsidRDefault="00C675B5">
      <w:pPr>
        <w:pStyle w:val="ConsPlusNormal"/>
        <w:jc w:val="right"/>
      </w:pPr>
      <w:r>
        <w:t>постановлением Правительства</w:t>
      </w:r>
    </w:p>
    <w:p w:rsidR="00C675B5" w:rsidRDefault="00C675B5">
      <w:pPr>
        <w:pStyle w:val="ConsPlusNormal"/>
        <w:jc w:val="right"/>
      </w:pPr>
      <w:r>
        <w:t>Московской области</w:t>
      </w:r>
    </w:p>
    <w:p w:rsidR="00C675B5" w:rsidRDefault="00C675B5">
      <w:pPr>
        <w:pStyle w:val="ConsPlusNormal"/>
        <w:jc w:val="right"/>
      </w:pPr>
      <w:r>
        <w:t>от 28 июня 2013 г. N 463/25</w:t>
      </w:r>
    </w:p>
    <w:p w:rsidR="00C675B5" w:rsidRDefault="00C675B5">
      <w:pPr>
        <w:pStyle w:val="ConsPlusNormal"/>
        <w:jc w:val="both"/>
      </w:pPr>
    </w:p>
    <w:p w:rsidR="00C675B5" w:rsidRDefault="00C675B5">
      <w:pPr>
        <w:pStyle w:val="ConsPlusTitle"/>
        <w:jc w:val="center"/>
      </w:pPr>
      <w:bookmarkStart w:id="0" w:name="P27"/>
      <w:bookmarkEnd w:id="0"/>
      <w:r>
        <w:t>ПРЕДЕЛЬНЫЕ СРОКИ,</w:t>
      </w:r>
    </w:p>
    <w:p w:rsidR="00C675B5" w:rsidRDefault="00C675B5">
      <w:pPr>
        <w:pStyle w:val="ConsPlusTitle"/>
        <w:jc w:val="center"/>
      </w:pPr>
      <w:r>
        <w:t>НА КОТОРЫЕ МОГУТ ЗАКЛЮЧАТЬСЯ ДОГОВОРЫ НА УСТАНОВКУ</w:t>
      </w:r>
    </w:p>
    <w:p w:rsidR="00C675B5" w:rsidRDefault="00C675B5">
      <w:pPr>
        <w:pStyle w:val="ConsPlusTitle"/>
        <w:jc w:val="center"/>
      </w:pPr>
      <w:r>
        <w:t>И ЭКСПЛУАТАЦИЮ РЕКЛАМНЫХ КОНСТРУКЦИЙ, В ЗАВИСИМОСТИ ОТ ТИПОВ</w:t>
      </w:r>
    </w:p>
    <w:p w:rsidR="00C675B5" w:rsidRDefault="00C675B5">
      <w:pPr>
        <w:pStyle w:val="ConsPlusTitle"/>
        <w:jc w:val="center"/>
      </w:pPr>
      <w:r>
        <w:t>И ВИДОВ РЕКЛАМНЫХ КОНСТРУКЦИЙ И ПРИМЕНЯЕМЫХ ТЕХНОЛОГИЙ</w:t>
      </w:r>
    </w:p>
    <w:p w:rsidR="00C675B5" w:rsidRDefault="00C675B5">
      <w:pPr>
        <w:pStyle w:val="ConsPlusTitle"/>
        <w:jc w:val="center"/>
      </w:pPr>
      <w:r>
        <w:t>ДЕМОНСТРАЦИЙ РЕКЛАМЫ</w:t>
      </w:r>
    </w:p>
    <w:p w:rsidR="00C675B5" w:rsidRDefault="00C675B5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20"/>
        <w:gridCol w:w="5160"/>
        <w:gridCol w:w="2160"/>
      </w:tblGrid>
      <w:tr w:rsidR="00C675B5">
        <w:trPr>
          <w:trHeight w:val="240"/>
        </w:trPr>
        <w:tc>
          <w:tcPr>
            <w:tcW w:w="1920" w:type="dxa"/>
          </w:tcPr>
          <w:p w:rsidR="00C675B5" w:rsidRDefault="00C675B5">
            <w:pPr>
              <w:pStyle w:val="ConsPlusNonformat"/>
              <w:jc w:val="both"/>
            </w:pPr>
            <w:r>
              <w:t xml:space="preserve">Виды </w:t>
            </w:r>
            <w:proofErr w:type="gramStart"/>
            <w:r>
              <w:t>рекламных</w:t>
            </w:r>
            <w:proofErr w:type="gramEnd"/>
          </w:p>
          <w:p w:rsidR="00C675B5" w:rsidRDefault="00C675B5">
            <w:pPr>
              <w:pStyle w:val="ConsPlusNonformat"/>
              <w:jc w:val="both"/>
            </w:pPr>
            <w:r>
              <w:t xml:space="preserve">конструкций   </w:t>
            </w:r>
          </w:p>
        </w:tc>
        <w:tc>
          <w:tcPr>
            <w:tcW w:w="5160" w:type="dxa"/>
          </w:tcPr>
          <w:p w:rsidR="00C675B5" w:rsidRDefault="00C675B5">
            <w:pPr>
              <w:pStyle w:val="ConsPlusNonformat"/>
              <w:jc w:val="both"/>
            </w:pPr>
            <w:r>
              <w:t xml:space="preserve">Типы рекламных конструкций               </w:t>
            </w:r>
          </w:p>
        </w:tc>
        <w:tc>
          <w:tcPr>
            <w:tcW w:w="2160" w:type="dxa"/>
          </w:tcPr>
          <w:p w:rsidR="00C675B5" w:rsidRDefault="00C675B5">
            <w:pPr>
              <w:pStyle w:val="ConsPlusNonformat"/>
              <w:jc w:val="both"/>
            </w:pPr>
            <w:r>
              <w:t xml:space="preserve">Предельный срок </w:t>
            </w:r>
          </w:p>
          <w:p w:rsidR="00C675B5" w:rsidRDefault="00C675B5">
            <w:pPr>
              <w:pStyle w:val="ConsPlusNonformat"/>
              <w:jc w:val="both"/>
            </w:pPr>
            <w:r>
              <w:t xml:space="preserve">действия        </w:t>
            </w:r>
          </w:p>
          <w:p w:rsidR="00C675B5" w:rsidRDefault="00C675B5">
            <w:pPr>
              <w:pStyle w:val="ConsPlusNonformat"/>
              <w:jc w:val="both"/>
            </w:pPr>
            <w:r>
              <w:t xml:space="preserve">договоров </w:t>
            </w:r>
            <w:proofErr w:type="gramStart"/>
            <w:r>
              <w:t>на</w:t>
            </w:r>
            <w:proofErr w:type="gramEnd"/>
            <w:r>
              <w:t xml:space="preserve">    </w:t>
            </w:r>
          </w:p>
          <w:p w:rsidR="00C675B5" w:rsidRDefault="00C675B5">
            <w:pPr>
              <w:pStyle w:val="ConsPlusNonformat"/>
              <w:jc w:val="both"/>
            </w:pPr>
            <w:r>
              <w:t xml:space="preserve">установку и     </w:t>
            </w:r>
          </w:p>
          <w:p w:rsidR="00C675B5" w:rsidRDefault="00C675B5">
            <w:pPr>
              <w:pStyle w:val="ConsPlusNonformat"/>
              <w:jc w:val="both"/>
            </w:pPr>
            <w:r>
              <w:t xml:space="preserve">эксплуатацию    </w:t>
            </w:r>
          </w:p>
          <w:p w:rsidR="00C675B5" w:rsidRDefault="00C675B5">
            <w:pPr>
              <w:pStyle w:val="ConsPlusNonformat"/>
              <w:jc w:val="both"/>
            </w:pPr>
            <w:r>
              <w:t xml:space="preserve">рекламных       </w:t>
            </w:r>
          </w:p>
          <w:p w:rsidR="00C675B5" w:rsidRDefault="00C675B5">
            <w:pPr>
              <w:pStyle w:val="ConsPlusNonformat"/>
              <w:jc w:val="both"/>
            </w:pPr>
            <w:r>
              <w:t>конструкций, лет</w:t>
            </w:r>
          </w:p>
        </w:tc>
      </w:tr>
      <w:tr w:rsidR="00C675B5">
        <w:trPr>
          <w:trHeight w:val="240"/>
        </w:trPr>
        <w:tc>
          <w:tcPr>
            <w:tcW w:w="1920" w:type="dxa"/>
            <w:vMerge w:val="restart"/>
            <w:tcBorders>
              <w:top w:val="nil"/>
            </w:tcBorders>
          </w:tcPr>
          <w:p w:rsidR="00C675B5" w:rsidRDefault="00C675B5">
            <w:pPr>
              <w:pStyle w:val="ConsPlusNonformat"/>
              <w:jc w:val="both"/>
            </w:pPr>
            <w:r>
              <w:t xml:space="preserve">отдельно      </w:t>
            </w:r>
          </w:p>
          <w:p w:rsidR="00C675B5" w:rsidRDefault="00C675B5">
            <w:pPr>
              <w:pStyle w:val="ConsPlusNonformat"/>
              <w:jc w:val="both"/>
            </w:pPr>
            <w:r>
              <w:t xml:space="preserve">стоящие       </w:t>
            </w:r>
          </w:p>
        </w:tc>
        <w:tc>
          <w:tcPr>
            <w:tcW w:w="5160" w:type="dxa"/>
            <w:tcBorders>
              <w:top w:val="nil"/>
            </w:tcBorders>
          </w:tcPr>
          <w:p w:rsidR="00C675B5" w:rsidRDefault="00C675B5">
            <w:pPr>
              <w:pStyle w:val="ConsPlusNonformat"/>
              <w:jc w:val="both"/>
            </w:pPr>
            <w:r>
              <w:t xml:space="preserve">щиты со стационарной поверхностью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C675B5" w:rsidRDefault="00C675B5">
            <w:pPr>
              <w:pStyle w:val="ConsPlusNonformat"/>
              <w:jc w:val="both"/>
            </w:pPr>
            <w:r>
              <w:t xml:space="preserve">внешним подсветом или без подсвета;      </w:t>
            </w:r>
          </w:p>
          <w:p w:rsidR="00C675B5" w:rsidRDefault="00C675B5">
            <w:pPr>
              <w:pStyle w:val="ConsPlusNonformat"/>
              <w:jc w:val="both"/>
            </w:pPr>
            <w:r>
              <w:t xml:space="preserve">перетяжки;                               </w:t>
            </w:r>
          </w:p>
          <w:p w:rsidR="00C675B5" w:rsidRDefault="00C675B5">
            <w:pPr>
              <w:pStyle w:val="ConsPlusNonformat"/>
              <w:jc w:val="both"/>
            </w:pPr>
            <w:proofErr w:type="spellStart"/>
            <w:r>
              <w:lastRenderedPageBreak/>
              <w:t>флаговые</w:t>
            </w:r>
            <w:proofErr w:type="spellEnd"/>
            <w:r>
              <w:t xml:space="preserve"> композиции;                     </w:t>
            </w:r>
          </w:p>
          <w:p w:rsidR="00C675B5" w:rsidRDefault="00C675B5">
            <w:pPr>
              <w:pStyle w:val="ConsPlusNonformat"/>
              <w:jc w:val="both"/>
            </w:pPr>
            <w:r>
              <w:t xml:space="preserve">реклама на пешеходных ограждениях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675B5" w:rsidRDefault="00C675B5">
            <w:pPr>
              <w:pStyle w:val="ConsPlusNonformat"/>
              <w:jc w:val="both"/>
            </w:pPr>
            <w:r>
              <w:lastRenderedPageBreak/>
              <w:t xml:space="preserve">        5       </w:t>
            </w:r>
          </w:p>
        </w:tc>
      </w:tr>
      <w:tr w:rsidR="00C675B5">
        <w:tc>
          <w:tcPr>
            <w:tcW w:w="1800" w:type="dxa"/>
            <w:vMerge/>
            <w:tcBorders>
              <w:top w:val="nil"/>
            </w:tcBorders>
          </w:tcPr>
          <w:p w:rsidR="00C675B5" w:rsidRDefault="00C675B5"/>
        </w:tc>
        <w:tc>
          <w:tcPr>
            <w:tcW w:w="5160" w:type="dxa"/>
            <w:tcBorders>
              <w:top w:val="nil"/>
            </w:tcBorders>
          </w:tcPr>
          <w:p w:rsidR="00C675B5" w:rsidRDefault="00C675B5">
            <w:pPr>
              <w:pStyle w:val="ConsPlusNonformat"/>
              <w:jc w:val="both"/>
            </w:pPr>
            <w:r>
              <w:t xml:space="preserve">щиты со стационарной поверхностью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C675B5" w:rsidRDefault="00C675B5">
            <w:pPr>
              <w:pStyle w:val="ConsPlusNonformat"/>
              <w:jc w:val="both"/>
            </w:pPr>
            <w:r>
              <w:t xml:space="preserve">внутренним подсветом;                    </w:t>
            </w:r>
          </w:p>
          <w:p w:rsidR="00C675B5" w:rsidRDefault="00C675B5">
            <w:pPr>
              <w:pStyle w:val="ConsPlusNonformat"/>
              <w:jc w:val="both"/>
            </w:pPr>
            <w:r>
              <w:t xml:space="preserve">объемно-пространственные объекты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675B5" w:rsidRDefault="00C675B5">
            <w:pPr>
              <w:pStyle w:val="ConsPlusNonformat"/>
              <w:jc w:val="both"/>
            </w:pPr>
            <w:r>
              <w:t xml:space="preserve">        7       </w:t>
            </w:r>
          </w:p>
        </w:tc>
      </w:tr>
      <w:tr w:rsidR="00C675B5">
        <w:tc>
          <w:tcPr>
            <w:tcW w:w="1800" w:type="dxa"/>
            <w:vMerge/>
            <w:tcBorders>
              <w:top w:val="nil"/>
            </w:tcBorders>
          </w:tcPr>
          <w:p w:rsidR="00C675B5" w:rsidRDefault="00C675B5"/>
        </w:tc>
        <w:tc>
          <w:tcPr>
            <w:tcW w:w="5160" w:type="dxa"/>
            <w:tcBorders>
              <w:top w:val="nil"/>
            </w:tcBorders>
          </w:tcPr>
          <w:p w:rsidR="00C675B5" w:rsidRDefault="00C675B5">
            <w:pPr>
              <w:pStyle w:val="ConsPlusNonformat"/>
              <w:jc w:val="both"/>
            </w:pPr>
            <w:r>
              <w:t xml:space="preserve">щиты с автоматической сменой экспозиции  </w:t>
            </w:r>
          </w:p>
        </w:tc>
        <w:tc>
          <w:tcPr>
            <w:tcW w:w="2160" w:type="dxa"/>
            <w:tcBorders>
              <w:top w:val="nil"/>
            </w:tcBorders>
          </w:tcPr>
          <w:p w:rsidR="00C675B5" w:rsidRDefault="00C675B5">
            <w:pPr>
              <w:pStyle w:val="ConsPlusNonformat"/>
              <w:jc w:val="both"/>
            </w:pPr>
            <w:r>
              <w:t xml:space="preserve">        8       </w:t>
            </w:r>
          </w:p>
        </w:tc>
      </w:tr>
      <w:tr w:rsidR="00C675B5">
        <w:tc>
          <w:tcPr>
            <w:tcW w:w="1800" w:type="dxa"/>
            <w:vMerge/>
            <w:tcBorders>
              <w:top w:val="nil"/>
            </w:tcBorders>
          </w:tcPr>
          <w:p w:rsidR="00C675B5" w:rsidRDefault="00C675B5"/>
        </w:tc>
        <w:tc>
          <w:tcPr>
            <w:tcW w:w="5160" w:type="dxa"/>
            <w:tcBorders>
              <w:top w:val="nil"/>
            </w:tcBorders>
          </w:tcPr>
          <w:p w:rsidR="00C675B5" w:rsidRDefault="00C675B5">
            <w:pPr>
              <w:pStyle w:val="ConsPlusNonformat"/>
              <w:jc w:val="both"/>
            </w:pPr>
            <w:r>
              <w:t xml:space="preserve">электронные табло;                       </w:t>
            </w:r>
          </w:p>
          <w:p w:rsidR="00C675B5" w:rsidRDefault="00C675B5">
            <w:pPr>
              <w:pStyle w:val="ConsPlusNonformat"/>
              <w:jc w:val="both"/>
            </w:pPr>
            <w:r>
              <w:t xml:space="preserve">рекламные конструкции, совмещенные </w:t>
            </w:r>
            <w:proofErr w:type="gramStart"/>
            <w:r>
              <w:t>с</w:t>
            </w:r>
            <w:proofErr w:type="gramEnd"/>
            <w:r>
              <w:t xml:space="preserve">     </w:t>
            </w:r>
          </w:p>
          <w:p w:rsidR="00C675B5" w:rsidRDefault="00C675B5">
            <w:pPr>
              <w:pStyle w:val="ConsPlusNonformat"/>
              <w:jc w:val="both"/>
            </w:pPr>
            <w:r>
              <w:t xml:space="preserve">элементами уличной мебели;               </w:t>
            </w:r>
          </w:p>
          <w:p w:rsidR="00C675B5" w:rsidRDefault="00C675B5">
            <w:pPr>
              <w:pStyle w:val="ConsPlusNonformat"/>
              <w:jc w:val="both"/>
            </w:pPr>
            <w:r>
              <w:t xml:space="preserve">рекламные конструкции в составе          </w:t>
            </w:r>
          </w:p>
          <w:p w:rsidR="00C675B5" w:rsidRDefault="00C675B5">
            <w:pPr>
              <w:pStyle w:val="ConsPlusNonformat"/>
              <w:jc w:val="both"/>
            </w:pPr>
            <w:r>
              <w:t xml:space="preserve">остановочных пунктов движения            </w:t>
            </w:r>
          </w:p>
          <w:p w:rsidR="00C675B5" w:rsidRDefault="00C675B5">
            <w:pPr>
              <w:pStyle w:val="ConsPlusNonformat"/>
              <w:jc w:val="both"/>
            </w:pPr>
            <w:r>
              <w:t xml:space="preserve">общественного транспорта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675B5" w:rsidRDefault="00C675B5">
            <w:pPr>
              <w:pStyle w:val="ConsPlusNonformat"/>
              <w:jc w:val="both"/>
            </w:pPr>
            <w:r>
              <w:t xml:space="preserve">       10       </w:t>
            </w:r>
          </w:p>
        </w:tc>
      </w:tr>
      <w:tr w:rsidR="00C675B5">
        <w:trPr>
          <w:trHeight w:val="240"/>
        </w:trPr>
        <w:tc>
          <w:tcPr>
            <w:tcW w:w="1920" w:type="dxa"/>
            <w:vMerge w:val="restart"/>
            <w:tcBorders>
              <w:top w:val="nil"/>
            </w:tcBorders>
          </w:tcPr>
          <w:p w:rsidR="00C675B5" w:rsidRDefault="00C675B5">
            <w:pPr>
              <w:pStyle w:val="ConsPlusNonformat"/>
              <w:jc w:val="both"/>
            </w:pPr>
            <w:r>
              <w:t xml:space="preserve">на зданиях и  </w:t>
            </w:r>
          </w:p>
          <w:p w:rsidR="00C675B5" w:rsidRDefault="00C675B5">
            <w:pPr>
              <w:pStyle w:val="ConsPlusNonformat"/>
              <w:jc w:val="both"/>
            </w:pPr>
            <w:proofErr w:type="gramStart"/>
            <w:r>
              <w:t>сооружениях</w:t>
            </w:r>
            <w:proofErr w:type="gramEnd"/>
            <w:r>
              <w:t xml:space="preserve">   </w:t>
            </w:r>
          </w:p>
        </w:tc>
        <w:tc>
          <w:tcPr>
            <w:tcW w:w="5160" w:type="dxa"/>
            <w:tcBorders>
              <w:top w:val="nil"/>
            </w:tcBorders>
          </w:tcPr>
          <w:p w:rsidR="00C675B5" w:rsidRDefault="00C675B5">
            <w:pPr>
              <w:pStyle w:val="ConsPlusNonformat"/>
              <w:jc w:val="both"/>
            </w:pPr>
            <w:r>
              <w:t xml:space="preserve">щиты со стационарной поверхностью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C675B5" w:rsidRDefault="00C675B5">
            <w:pPr>
              <w:pStyle w:val="ConsPlusNonformat"/>
              <w:jc w:val="both"/>
            </w:pPr>
            <w:r>
              <w:t xml:space="preserve">внешним подсветом или без подсвета;      </w:t>
            </w:r>
          </w:p>
          <w:p w:rsidR="00C675B5" w:rsidRDefault="00C675B5">
            <w:pPr>
              <w:pStyle w:val="ConsPlusNonformat"/>
              <w:jc w:val="both"/>
            </w:pPr>
            <w:r>
              <w:t xml:space="preserve">перетяжки;                               </w:t>
            </w:r>
          </w:p>
          <w:p w:rsidR="00C675B5" w:rsidRDefault="00C675B5">
            <w:pPr>
              <w:pStyle w:val="ConsPlusNonformat"/>
              <w:jc w:val="both"/>
            </w:pPr>
            <w:proofErr w:type="spellStart"/>
            <w:r>
              <w:t>флаговые</w:t>
            </w:r>
            <w:proofErr w:type="spellEnd"/>
            <w:r>
              <w:t xml:space="preserve"> композиции;                     </w:t>
            </w:r>
          </w:p>
          <w:p w:rsidR="00C675B5" w:rsidRDefault="00C675B5">
            <w:pPr>
              <w:pStyle w:val="ConsPlusNonformat"/>
              <w:jc w:val="both"/>
            </w:pPr>
            <w:proofErr w:type="spellStart"/>
            <w:proofErr w:type="gramStart"/>
            <w:r>
              <w:t>панель-кронштейны</w:t>
            </w:r>
            <w:proofErr w:type="spellEnd"/>
            <w:proofErr w:type="gramEnd"/>
            <w:r>
              <w:t xml:space="preserve">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675B5" w:rsidRDefault="00C675B5">
            <w:pPr>
              <w:pStyle w:val="ConsPlusNonformat"/>
              <w:jc w:val="both"/>
            </w:pPr>
            <w:r>
              <w:t xml:space="preserve">        5       </w:t>
            </w:r>
          </w:p>
        </w:tc>
      </w:tr>
      <w:tr w:rsidR="00C675B5">
        <w:tc>
          <w:tcPr>
            <w:tcW w:w="1800" w:type="dxa"/>
            <w:vMerge/>
            <w:tcBorders>
              <w:top w:val="nil"/>
            </w:tcBorders>
          </w:tcPr>
          <w:p w:rsidR="00C675B5" w:rsidRDefault="00C675B5"/>
        </w:tc>
        <w:tc>
          <w:tcPr>
            <w:tcW w:w="5160" w:type="dxa"/>
            <w:tcBorders>
              <w:top w:val="nil"/>
            </w:tcBorders>
          </w:tcPr>
          <w:p w:rsidR="00C675B5" w:rsidRDefault="00C675B5">
            <w:pPr>
              <w:pStyle w:val="ConsPlusNonformat"/>
              <w:jc w:val="both"/>
            </w:pPr>
            <w:r>
              <w:t xml:space="preserve">щиты со стационарной поверхностью </w:t>
            </w:r>
            <w:proofErr w:type="gramStart"/>
            <w:r>
              <w:t>с</w:t>
            </w:r>
            <w:proofErr w:type="gramEnd"/>
            <w:r>
              <w:t xml:space="preserve">      </w:t>
            </w:r>
          </w:p>
          <w:p w:rsidR="00C675B5" w:rsidRDefault="00C675B5">
            <w:pPr>
              <w:pStyle w:val="ConsPlusNonformat"/>
              <w:jc w:val="both"/>
            </w:pPr>
            <w:r>
              <w:t xml:space="preserve">внутренним подсветом;                    </w:t>
            </w:r>
          </w:p>
          <w:p w:rsidR="00C675B5" w:rsidRDefault="00C675B5">
            <w:pPr>
              <w:pStyle w:val="ConsPlusNonformat"/>
              <w:jc w:val="both"/>
            </w:pPr>
            <w:r>
              <w:t xml:space="preserve">объемно-пространственные объекты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675B5" w:rsidRDefault="00C675B5">
            <w:pPr>
              <w:pStyle w:val="ConsPlusNonformat"/>
              <w:jc w:val="both"/>
            </w:pPr>
            <w:r>
              <w:t xml:space="preserve">        7       </w:t>
            </w:r>
          </w:p>
        </w:tc>
      </w:tr>
      <w:tr w:rsidR="00C675B5">
        <w:tc>
          <w:tcPr>
            <w:tcW w:w="1800" w:type="dxa"/>
            <w:vMerge/>
            <w:tcBorders>
              <w:top w:val="nil"/>
            </w:tcBorders>
          </w:tcPr>
          <w:p w:rsidR="00C675B5" w:rsidRDefault="00C675B5"/>
        </w:tc>
        <w:tc>
          <w:tcPr>
            <w:tcW w:w="5160" w:type="dxa"/>
            <w:tcBorders>
              <w:top w:val="nil"/>
            </w:tcBorders>
          </w:tcPr>
          <w:p w:rsidR="00C675B5" w:rsidRDefault="00C675B5">
            <w:pPr>
              <w:pStyle w:val="ConsPlusNonformat"/>
              <w:jc w:val="both"/>
            </w:pPr>
            <w:r>
              <w:t>щиты с автоматической сменной экспозицией</w:t>
            </w:r>
          </w:p>
        </w:tc>
        <w:tc>
          <w:tcPr>
            <w:tcW w:w="2160" w:type="dxa"/>
            <w:tcBorders>
              <w:top w:val="nil"/>
            </w:tcBorders>
          </w:tcPr>
          <w:p w:rsidR="00C675B5" w:rsidRDefault="00C675B5">
            <w:pPr>
              <w:pStyle w:val="ConsPlusNonformat"/>
              <w:jc w:val="both"/>
            </w:pPr>
            <w:r>
              <w:t xml:space="preserve">        8       </w:t>
            </w:r>
          </w:p>
        </w:tc>
      </w:tr>
      <w:tr w:rsidR="00C675B5">
        <w:tc>
          <w:tcPr>
            <w:tcW w:w="1800" w:type="dxa"/>
            <w:vMerge/>
            <w:tcBorders>
              <w:top w:val="nil"/>
            </w:tcBorders>
          </w:tcPr>
          <w:p w:rsidR="00C675B5" w:rsidRDefault="00C675B5"/>
        </w:tc>
        <w:tc>
          <w:tcPr>
            <w:tcW w:w="5160" w:type="dxa"/>
            <w:tcBorders>
              <w:top w:val="nil"/>
            </w:tcBorders>
          </w:tcPr>
          <w:p w:rsidR="00C675B5" w:rsidRDefault="00C675B5">
            <w:pPr>
              <w:pStyle w:val="ConsPlusNonformat"/>
              <w:jc w:val="both"/>
            </w:pPr>
            <w:r>
              <w:t xml:space="preserve">электронные табло;                       </w:t>
            </w:r>
          </w:p>
          <w:p w:rsidR="00C675B5" w:rsidRDefault="00C675B5">
            <w:pPr>
              <w:pStyle w:val="ConsPlusNonformat"/>
              <w:jc w:val="both"/>
            </w:pPr>
            <w:proofErr w:type="spellStart"/>
            <w:r>
              <w:t>медиафасады</w:t>
            </w:r>
            <w:proofErr w:type="spellEnd"/>
            <w:r>
              <w:t xml:space="preserve">;                             </w:t>
            </w:r>
          </w:p>
          <w:p w:rsidR="00C675B5" w:rsidRDefault="00C675B5">
            <w:pPr>
              <w:pStyle w:val="ConsPlusNonformat"/>
              <w:jc w:val="both"/>
            </w:pPr>
            <w:r>
              <w:t xml:space="preserve">рекламные конструкции в составе          </w:t>
            </w:r>
          </w:p>
          <w:p w:rsidR="00C675B5" w:rsidRDefault="00C675B5">
            <w:pPr>
              <w:pStyle w:val="ConsPlusNonformat"/>
              <w:jc w:val="both"/>
            </w:pPr>
            <w:r>
              <w:t xml:space="preserve">остановочных пунктов движения            </w:t>
            </w:r>
          </w:p>
          <w:p w:rsidR="00C675B5" w:rsidRDefault="00C675B5">
            <w:pPr>
              <w:pStyle w:val="ConsPlusNonformat"/>
              <w:jc w:val="both"/>
            </w:pPr>
            <w:r>
              <w:t xml:space="preserve">общественного транспорта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675B5" w:rsidRDefault="00C675B5">
            <w:pPr>
              <w:pStyle w:val="ConsPlusNonformat"/>
              <w:jc w:val="both"/>
            </w:pPr>
            <w:r>
              <w:t xml:space="preserve">       10       </w:t>
            </w:r>
          </w:p>
        </w:tc>
      </w:tr>
    </w:tbl>
    <w:p w:rsidR="00C675B5" w:rsidRDefault="00C675B5">
      <w:pPr>
        <w:pStyle w:val="ConsPlusNormal"/>
        <w:jc w:val="both"/>
      </w:pPr>
    </w:p>
    <w:p w:rsidR="00C675B5" w:rsidRDefault="00C675B5">
      <w:pPr>
        <w:pStyle w:val="ConsPlusNormal"/>
        <w:ind w:firstLine="540"/>
        <w:jc w:val="both"/>
      </w:pPr>
      <w:r>
        <w:t>Примечание:</w:t>
      </w:r>
    </w:p>
    <w:p w:rsidR="00C675B5" w:rsidRDefault="00C675B5">
      <w:pPr>
        <w:pStyle w:val="ConsPlusNormal"/>
        <w:spacing w:before="220"/>
        <w:ind w:firstLine="540"/>
        <w:jc w:val="both"/>
      </w:pPr>
      <w:r>
        <w:t>1. Щитовые установки - рекламные конструкции, имеющие плоскостные внешние поверхности для размещения информации, состоящие из каркаса и информационного поля.</w:t>
      </w:r>
    </w:p>
    <w:p w:rsidR="00C675B5" w:rsidRDefault="00C675B5">
      <w:pPr>
        <w:pStyle w:val="ConsPlusNormal"/>
        <w:spacing w:before="220"/>
        <w:ind w:firstLine="540"/>
        <w:jc w:val="both"/>
      </w:pPr>
      <w:r>
        <w:t>2. Перетяжки - рекламные конструкции, состоящие из отдельно стоящих опор, тросовых конструкций и информационного поля. Возможно крепление тросовых конструкций к зданиям и сооружениям. Информационное поле может быть выполнено из жестких материалов, из материалов на мягкой основе, иметь световое оформление, в том числе гирлянды.</w:t>
      </w:r>
    </w:p>
    <w:p w:rsidR="00C675B5" w:rsidRDefault="00C675B5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Флаговые</w:t>
      </w:r>
      <w:proofErr w:type="spellEnd"/>
      <w:r>
        <w:t xml:space="preserve"> композиции - рекламные конструкции, состоящие из одного или нескольких флагштоков (стоек) и информационного поля с использованием мягких полотнищ.</w:t>
      </w:r>
    </w:p>
    <w:p w:rsidR="00C675B5" w:rsidRDefault="00C675B5">
      <w:pPr>
        <w:pStyle w:val="ConsPlusNormal"/>
        <w:spacing w:before="220"/>
        <w:ind w:firstLine="540"/>
        <w:jc w:val="both"/>
      </w:pPr>
      <w:r>
        <w:t xml:space="preserve">4. Объемно-пространственные объекты - рекламные конструкции, на которых для распространения информации используется как объем объекта, так и его поверхность, выполняются по </w:t>
      </w:r>
      <w:proofErr w:type="gramStart"/>
      <w:r>
        <w:t>индивидуальным проектам</w:t>
      </w:r>
      <w:proofErr w:type="gramEnd"/>
      <w:r>
        <w:t>.</w:t>
      </w:r>
    </w:p>
    <w:p w:rsidR="00C675B5" w:rsidRDefault="00C675B5">
      <w:pPr>
        <w:pStyle w:val="ConsPlusNormal"/>
        <w:spacing w:before="220"/>
        <w:ind w:firstLine="540"/>
        <w:jc w:val="both"/>
      </w:pPr>
      <w:r>
        <w:t>5. Электронные табло - рекламные конструкции, состоящие из каркаса и имеющие поверхность, предназначенную для воспроизведения изображения на плоскости экрана за счет светоизлучения светодиодов, ламп, иных источников света или светоотражающих элементов.</w:t>
      </w:r>
    </w:p>
    <w:p w:rsidR="00C675B5" w:rsidRDefault="00C675B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Рекламные конструкции, совмещенные с элементами уличной мебели, - рекламные конструкции на таксофонных кабинах, парковых скамейках, уличных терминалах оплаты, мусорных контейнерах и т.д. - рекламные конструкции с информационной поверхностью, размещаемой на предназначенных для размещения рекламы элементах уличной мебели.</w:t>
      </w:r>
      <w:proofErr w:type="gramEnd"/>
    </w:p>
    <w:p w:rsidR="00C675B5" w:rsidRDefault="00C675B5">
      <w:pPr>
        <w:pStyle w:val="ConsPlusNormal"/>
        <w:spacing w:before="220"/>
        <w:ind w:firstLine="540"/>
        <w:jc w:val="both"/>
      </w:pPr>
      <w:r>
        <w:t xml:space="preserve">7. Рекламные конструкции в составе остановочных пунктов движения общественного транспорта - рекламные конструкции с информационной поверхностью, размещаемой на </w:t>
      </w:r>
      <w:r>
        <w:lastRenderedPageBreak/>
        <w:t>элементах остановочных пунктов, предназначенных для использования под рекламу.</w:t>
      </w:r>
    </w:p>
    <w:p w:rsidR="00C675B5" w:rsidRDefault="00C675B5">
      <w:pPr>
        <w:pStyle w:val="ConsPlusNormal"/>
        <w:spacing w:before="220"/>
        <w:ind w:firstLine="540"/>
        <w:jc w:val="both"/>
      </w:pPr>
      <w:r>
        <w:t xml:space="preserve">8. </w:t>
      </w:r>
      <w:proofErr w:type="spellStart"/>
      <w:proofErr w:type="gramStart"/>
      <w:r>
        <w:t>Панель-кронштейны</w:t>
      </w:r>
      <w:proofErr w:type="spellEnd"/>
      <w:proofErr w:type="gramEnd"/>
      <w:r>
        <w:t xml:space="preserve"> - двухсторонние консольные плоскостные рекламные конструкции, устанавливаемые на опорах (мачтах-опорах освещения, опорах контактной сети) или на зданиях (сооружениях), состоящие из креплений и информационной поверхности, расположенной на световом коробе.</w:t>
      </w:r>
    </w:p>
    <w:p w:rsidR="00C675B5" w:rsidRDefault="00C675B5">
      <w:pPr>
        <w:pStyle w:val="ConsPlusNormal"/>
        <w:spacing w:before="220"/>
        <w:ind w:firstLine="540"/>
        <w:jc w:val="both"/>
      </w:pPr>
      <w:r>
        <w:t xml:space="preserve">9. </w:t>
      </w:r>
      <w:proofErr w:type="spellStart"/>
      <w:r>
        <w:t>Медиафасады</w:t>
      </w:r>
      <w:proofErr w:type="spellEnd"/>
      <w:r>
        <w:t xml:space="preserve"> - объекты наружной рекламы и информации, присоединяемые к зданиям и сооружениям и имеющие поверхность, предназначенную для воспроизведения изображения за счет светоизлучения светодиодов, ламп, иных источников света или светоотражающих элементов.</w:t>
      </w:r>
    </w:p>
    <w:p w:rsidR="00C675B5" w:rsidRDefault="00C675B5">
      <w:pPr>
        <w:pStyle w:val="ConsPlusNormal"/>
        <w:spacing w:before="220"/>
        <w:ind w:firstLine="540"/>
        <w:jc w:val="both"/>
      </w:pPr>
      <w:r>
        <w:t>10. Проекционные установки - рекламные конструкции, предназначенные для воспроизведения изображения на земле, на плоскостях стен и в объеме, состоят из проецирующего устройства и поверхности (экрана) или объема, в котором формируется информационное изображение.</w:t>
      </w:r>
    </w:p>
    <w:p w:rsidR="00C675B5" w:rsidRDefault="00C675B5">
      <w:pPr>
        <w:pStyle w:val="ConsPlusNormal"/>
        <w:jc w:val="both"/>
      </w:pPr>
    </w:p>
    <w:p w:rsidR="00C675B5" w:rsidRDefault="00C675B5">
      <w:pPr>
        <w:pStyle w:val="ConsPlusNormal"/>
        <w:jc w:val="both"/>
      </w:pPr>
    </w:p>
    <w:p w:rsidR="00C675B5" w:rsidRDefault="00C675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6637" w:rsidRDefault="000B6637">
      <w:bookmarkStart w:id="1" w:name="_GoBack"/>
      <w:bookmarkEnd w:id="1"/>
    </w:p>
    <w:sectPr w:rsidR="000B6637" w:rsidSect="0008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5B5"/>
    <w:rsid w:val="000B6637"/>
    <w:rsid w:val="00107C6D"/>
    <w:rsid w:val="002E7303"/>
    <w:rsid w:val="00C6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75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5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75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7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75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E6AEA862DC7423C81E617523AF00FC8C4AE7D19E61D53BFF64335DCF47532F87C1CE7ABD523749C330A648EB5C313C7B135C2E700B57E3xEw3H" TargetMode="External"/><Relationship Id="rId5" Type="http://schemas.openxmlformats.org/officeDocument/2006/relationships/hyperlink" Target="consultantplus://offline/ref=43E6AEA862DC7423C81E607B36AF00FC8D41E3D19F62D53BFF64335DCF47532F87C1CE7ABD523549C430A648EB5C313C7B135C2E700B57E3xEw3H" TargetMode="External"/><Relationship Id="rId4" Type="http://schemas.openxmlformats.org/officeDocument/2006/relationships/hyperlink" Target="http://www.consultan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Трунькина Наталья Викторовна</dc:creator>
  <cp:lastModifiedBy>user</cp:lastModifiedBy>
  <cp:revision>2</cp:revision>
  <dcterms:created xsi:type="dcterms:W3CDTF">2019-07-12T14:05:00Z</dcterms:created>
  <dcterms:modified xsi:type="dcterms:W3CDTF">2019-07-12T14:05:00Z</dcterms:modified>
</cp:coreProperties>
</file>